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CB" w:rsidRDefault="004C55CB" w:rsidP="004C55CB">
      <w:pPr>
        <w:tabs>
          <w:tab w:val="center" w:pos="5040"/>
          <w:tab w:val="right" w:pos="9900"/>
        </w:tabs>
      </w:pPr>
      <w:bookmarkStart w:id="0" w:name="_GoBack"/>
      <w:bookmarkEnd w:id="0"/>
      <w:r>
        <w:rPr>
          <w:noProof/>
          <w:lang w:val="en-GB" w:eastAsia="en-GB"/>
        </w:rPr>
        <w:drawing>
          <wp:inline distT="0" distB="0" distL="0" distR="0">
            <wp:extent cx="2786380" cy="621030"/>
            <wp:effectExtent l="19050" t="0" r="0" b="0"/>
            <wp:docPr id="6"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cstate="print"/>
                    <a:srcRect/>
                    <a:stretch>
                      <a:fillRect/>
                    </a:stretch>
                  </pic:blipFill>
                  <pic:spPr bwMode="auto">
                    <a:xfrm>
                      <a:off x="0" y="0"/>
                      <a:ext cx="2786380" cy="621030"/>
                    </a:xfrm>
                    <a:prstGeom prst="rect">
                      <a:avLst/>
                    </a:prstGeom>
                    <a:noFill/>
                    <a:ln w="9525">
                      <a:noFill/>
                      <a:miter lim="800000"/>
                      <a:headEnd/>
                      <a:tailEnd/>
                    </a:ln>
                  </pic:spPr>
                </pic:pic>
              </a:graphicData>
            </a:graphic>
          </wp:inline>
        </w:drawing>
      </w:r>
      <w:r w:rsidR="00770F1A">
        <w:t xml:space="preserve">     </w:t>
      </w:r>
    </w:p>
    <w:p w:rsidR="00770F1A" w:rsidRDefault="00770F1A" w:rsidP="004C55CB">
      <w:pPr>
        <w:tabs>
          <w:tab w:val="center" w:pos="5040"/>
          <w:tab w:val="right" w:pos="9900"/>
        </w:tabs>
      </w:pPr>
      <w:r>
        <w:t xml:space="preserve">                                                                </w:t>
      </w:r>
    </w:p>
    <w:p w:rsidR="00770F1A" w:rsidRDefault="004564AE" w:rsidP="00770F1A">
      <w:pPr>
        <w:jc w:val="center"/>
        <w:rPr>
          <w:rFonts w:ascii="Arial" w:hAnsi="Arial" w:cs="Arial"/>
          <w:b/>
          <w:sz w:val="28"/>
          <w:szCs w:val="28"/>
        </w:rPr>
      </w:pPr>
      <w:r w:rsidRPr="004564AE">
        <w:rPr>
          <w:rFonts w:ascii="Arial" w:hAnsi="Arial" w:cs="Arial"/>
          <w:b/>
          <w:sz w:val="28"/>
          <w:szCs w:val="28"/>
        </w:rPr>
        <w:t>F</w:t>
      </w:r>
      <w:r>
        <w:rPr>
          <w:rFonts w:ascii="Arial" w:hAnsi="Arial" w:cs="Arial"/>
          <w:b/>
          <w:sz w:val="28"/>
          <w:szCs w:val="28"/>
        </w:rPr>
        <w:t>Y</w:t>
      </w:r>
      <w:r w:rsidRPr="004564AE">
        <w:rPr>
          <w:rFonts w:ascii="Arial" w:hAnsi="Arial" w:cs="Arial"/>
          <w:b/>
          <w:sz w:val="28"/>
          <w:szCs w:val="28"/>
        </w:rPr>
        <w:t>1 Emergency Medicine</w:t>
      </w:r>
    </w:p>
    <w:p w:rsidR="00770F1A" w:rsidRDefault="00770F1A" w:rsidP="00770F1A">
      <w:pPr>
        <w:jc w:val="center"/>
        <w:rPr>
          <w:rFonts w:ascii="Arial" w:hAnsi="Arial" w:cs="Arial"/>
          <w:b/>
          <w:sz w:val="22"/>
          <w:szCs w:val="22"/>
        </w:rPr>
      </w:pPr>
    </w:p>
    <w:p w:rsidR="00770F1A" w:rsidRDefault="00770F1A" w:rsidP="00770F1A">
      <w:pP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329"/>
      </w:tblGrid>
      <w:tr w:rsidR="00770F1A" w:rsidTr="00770F1A">
        <w:trPr>
          <w:trHeight w:val="144"/>
        </w:trPr>
        <w:tc>
          <w:tcPr>
            <w:tcW w:w="3851"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jc w:val="both"/>
              <w:rPr>
                <w:rFonts w:ascii="Arial" w:hAnsi="Arial" w:cs="Arial"/>
                <w:b/>
              </w:rPr>
            </w:pPr>
            <w:r>
              <w:rPr>
                <w:rFonts w:ascii="Arial" w:hAnsi="Arial" w:cs="Arial"/>
                <w:b/>
                <w:sz w:val="22"/>
                <w:szCs w:val="22"/>
              </w:rPr>
              <w:t>Placement</w:t>
            </w:r>
          </w:p>
        </w:tc>
        <w:tc>
          <w:tcPr>
            <w:tcW w:w="5329" w:type="dxa"/>
            <w:tcBorders>
              <w:top w:val="single" w:sz="4" w:space="0" w:color="auto"/>
              <w:left w:val="single" w:sz="4" w:space="0" w:color="auto"/>
              <w:bottom w:val="single" w:sz="4" w:space="0" w:color="auto"/>
              <w:right w:val="single" w:sz="4" w:space="0" w:color="auto"/>
            </w:tcBorders>
          </w:tcPr>
          <w:p w:rsidR="00770F1A" w:rsidRPr="003224CD" w:rsidRDefault="00ED0207">
            <w:pPr>
              <w:spacing w:line="276" w:lineRule="auto"/>
              <w:jc w:val="both"/>
              <w:rPr>
                <w:rFonts w:ascii="Arial" w:hAnsi="Arial" w:cs="Arial"/>
              </w:rPr>
            </w:pPr>
            <w:r w:rsidRPr="003224CD">
              <w:rPr>
                <w:rFonts w:ascii="Arial" w:hAnsi="Arial" w:cs="Arial"/>
              </w:rPr>
              <w:t>F1 Emergency Medicine</w:t>
            </w:r>
          </w:p>
          <w:p w:rsidR="00770F1A" w:rsidRPr="003224CD" w:rsidRDefault="00770F1A">
            <w:pPr>
              <w:spacing w:line="276" w:lineRule="auto"/>
              <w:jc w:val="both"/>
              <w:rPr>
                <w:rFonts w:ascii="Arial" w:hAnsi="Arial" w:cs="Arial"/>
              </w:rPr>
            </w:pPr>
          </w:p>
        </w:tc>
      </w:tr>
      <w:tr w:rsidR="00770F1A" w:rsidTr="00770F1A">
        <w:trPr>
          <w:trHeight w:val="144"/>
        </w:trPr>
        <w:tc>
          <w:tcPr>
            <w:tcW w:w="3851"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rPr>
                <w:rFonts w:ascii="Arial" w:hAnsi="Arial" w:cs="Arial"/>
                <w:b/>
              </w:rPr>
            </w:pPr>
            <w:r>
              <w:rPr>
                <w:rFonts w:ascii="Arial" w:hAnsi="Arial" w:cs="Arial"/>
                <w:b/>
                <w:sz w:val="22"/>
                <w:szCs w:val="22"/>
              </w:rPr>
              <w:t>The department</w:t>
            </w:r>
          </w:p>
        </w:tc>
        <w:tc>
          <w:tcPr>
            <w:tcW w:w="5329" w:type="dxa"/>
            <w:tcBorders>
              <w:top w:val="single" w:sz="4" w:space="0" w:color="auto"/>
              <w:left w:val="single" w:sz="4" w:space="0" w:color="auto"/>
              <w:bottom w:val="single" w:sz="4" w:space="0" w:color="auto"/>
              <w:right w:val="single" w:sz="4" w:space="0" w:color="auto"/>
            </w:tcBorders>
          </w:tcPr>
          <w:p w:rsidR="00B30362" w:rsidRPr="003224CD" w:rsidRDefault="00ED0207" w:rsidP="00057EF3">
            <w:pPr>
              <w:spacing w:line="276" w:lineRule="auto"/>
              <w:rPr>
                <w:rFonts w:ascii="Arial" w:hAnsi="Arial" w:cs="Arial"/>
              </w:rPr>
            </w:pPr>
            <w:r w:rsidRPr="003224CD">
              <w:rPr>
                <w:rFonts w:ascii="Arial" w:hAnsi="Arial" w:cs="Arial"/>
              </w:rPr>
              <w:t>Adult Emergency Department</w:t>
            </w:r>
            <w:r w:rsidR="00057EF3" w:rsidRPr="003224CD">
              <w:rPr>
                <w:rFonts w:ascii="Arial" w:hAnsi="Arial" w:cs="Arial"/>
              </w:rPr>
              <w:t xml:space="preserve">. </w:t>
            </w:r>
            <w:r w:rsidR="00B348DD">
              <w:rPr>
                <w:rFonts w:ascii="Arial" w:hAnsi="Arial" w:cs="Arial"/>
              </w:rPr>
              <w:t>9</w:t>
            </w:r>
            <w:r w:rsidR="00057EF3" w:rsidRPr="003224CD">
              <w:rPr>
                <w:rFonts w:ascii="Arial" w:hAnsi="Arial" w:cs="Arial"/>
              </w:rPr>
              <w:t xml:space="preserve"> consultants, </w:t>
            </w:r>
            <w:r w:rsidR="00B348DD">
              <w:rPr>
                <w:rFonts w:ascii="Arial" w:hAnsi="Arial" w:cs="Arial"/>
              </w:rPr>
              <w:t>19</w:t>
            </w:r>
            <w:r w:rsidR="00057EF3" w:rsidRPr="003224CD">
              <w:rPr>
                <w:rFonts w:ascii="Arial" w:hAnsi="Arial" w:cs="Arial"/>
              </w:rPr>
              <w:t xml:space="preserve"> Registrars, </w:t>
            </w:r>
            <w:r w:rsidR="007D018F">
              <w:rPr>
                <w:rFonts w:ascii="Arial" w:hAnsi="Arial" w:cs="Arial"/>
              </w:rPr>
              <w:t>6 CT1s, 12 F2s</w:t>
            </w:r>
            <w:r w:rsidR="00057EF3" w:rsidRPr="003224CD">
              <w:rPr>
                <w:rFonts w:ascii="Arial" w:hAnsi="Arial" w:cs="Arial"/>
              </w:rPr>
              <w:t xml:space="preserve"> and 4 F1</w:t>
            </w:r>
            <w:r w:rsidR="007D018F">
              <w:rPr>
                <w:rFonts w:ascii="Arial" w:hAnsi="Arial" w:cs="Arial"/>
              </w:rPr>
              <w:t>s</w:t>
            </w:r>
            <w:r w:rsidR="00057EF3" w:rsidRPr="003224CD">
              <w:rPr>
                <w:rFonts w:ascii="Arial" w:hAnsi="Arial" w:cs="Arial"/>
              </w:rPr>
              <w:t>.</w:t>
            </w:r>
          </w:p>
          <w:p w:rsidR="00770F1A" w:rsidRPr="003224CD" w:rsidRDefault="00057EF3" w:rsidP="00057EF3">
            <w:pPr>
              <w:spacing w:line="276" w:lineRule="auto"/>
              <w:rPr>
                <w:rFonts w:ascii="Arial" w:hAnsi="Arial" w:cs="Arial"/>
              </w:rPr>
            </w:pPr>
            <w:r w:rsidRPr="003224CD">
              <w:rPr>
                <w:rFonts w:ascii="Arial" w:hAnsi="Arial" w:cs="Arial"/>
              </w:rPr>
              <w:t xml:space="preserve"> </w:t>
            </w:r>
          </w:p>
        </w:tc>
      </w:tr>
      <w:tr w:rsidR="00770F1A" w:rsidTr="00770F1A">
        <w:trPr>
          <w:trHeight w:val="144"/>
        </w:trPr>
        <w:tc>
          <w:tcPr>
            <w:tcW w:w="3851"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jc w:val="both"/>
              <w:rPr>
                <w:rFonts w:ascii="Arial" w:hAnsi="Arial" w:cs="Arial"/>
                <w:b/>
              </w:rPr>
            </w:pPr>
            <w:r>
              <w:rPr>
                <w:rFonts w:ascii="Arial" w:hAnsi="Arial" w:cs="Arial"/>
                <w:b/>
                <w:sz w:val="22"/>
                <w:szCs w:val="22"/>
              </w:rPr>
              <w:t>Trust &amp; Site</w:t>
            </w:r>
          </w:p>
        </w:tc>
        <w:tc>
          <w:tcPr>
            <w:tcW w:w="5329" w:type="dxa"/>
            <w:tcBorders>
              <w:top w:val="single" w:sz="4" w:space="0" w:color="auto"/>
              <w:left w:val="single" w:sz="4" w:space="0" w:color="auto"/>
              <w:bottom w:val="single" w:sz="4" w:space="0" w:color="auto"/>
              <w:right w:val="single" w:sz="4" w:space="0" w:color="auto"/>
            </w:tcBorders>
          </w:tcPr>
          <w:p w:rsidR="00770F1A" w:rsidRPr="003224CD" w:rsidRDefault="00ED0207">
            <w:pPr>
              <w:spacing w:line="276" w:lineRule="auto"/>
              <w:jc w:val="both"/>
              <w:rPr>
                <w:rFonts w:ascii="Arial" w:hAnsi="Arial" w:cs="Arial"/>
              </w:rPr>
            </w:pPr>
            <w:r w:rsidRPr="003224CD">
              <w:rPr>
                <w:rFonts w:ascii="Arial" w:hAnsi="Arial" w:cs="Arial"/>
              </w:rPr>
              <w:t>Chelsea and Westminster Hospital</w:t>
            </w:r>
          </w:p>
          <w:p w:rsidR="00770F1A" w:rsidRPr="003224CD" w:rsidRDefault="00770F1A">
            <w:pPr>
              <w:spacing w:line="276" w:lineRule="auto"/>
              <w:jc w:val="both"/>
              <w:rPr>
                <w:rFonts w:ascii="Arial" w:hAnsi="Arial" w:cs="Arial"/>
              </w:rPr>
            </w:pPr>
          </w:p>
        </w:tc>
      </w:tr>
      <w:tr w:rsidR="00770F1A" w:rsidTr="00770F1A">
        <w:trPr>
          <w:trHeight w:val="144"/>
        </w:trPr>
        <w:tc>
          <w:tcPr>
            <w:tcW w:w="3851"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rPr>
                <w:rFonts w:ascii="Arial" w:hAnsi="Arial" w:cs="Arial"/>
                <w:b/>
              </w:rPr>
            </w:pPr>
            <w:r>
              <w:rPr>
                <w:rFonts w:ascii="Arial" w:hAnsi="Arial" w:cs="Arial"/>
                <w:b/>
                <w:sz w:val="22"/>
                <w:szCs w:val="22"/>
              </w:rPr>
              <w:t>The type of work to expect and learning opportunities</w:t>
            </w:r>
          </w:p>
        </w:tc>
        <w:tc>
          <w:tcPr>
            <w:tcW w:w="5329" w:type="dxa"/>
            <w:tcBorders>
              <w:top w:val="single" w:sz="4" w:space="0" w:color="auto"/>
              <w:left w:val="single" w:sz="4" w:space="0" w:color="auto"/>
              <w:bottom w:val="single" w:sz="4" w:space="0" w:color="auto"/>
              <w:right w:val="single" w:sz="4" w:space="0" w:color="auto"/>
            </w:tcBorders>
          </w:tcPr>
          <w:p w:rsidR="00770F1A" w:rsidRPr="003224CD" w:rsidRDefault="00AF049C">
            <w:pPr>
              <w:spacing w:line="276" w:lineRule="auto"/>
              <w:rPr>
                <w:rFonts w:ascii="Arial" w:hAnsi="Arial" w:cs="Arial"/>
              </w:rPr>
            </w:pPr>
            <w:r w:rsidRPr="003224CD">
              <w:rPr>
                <w:rFonts w:ascii="Arial" w:hAnsi="Arial" w:cs="Arial"/>
              </w:rPr>
              <w:t xml:space="preserve">The F1 is </w:t>
            </w:r>
            <w:r w:rsidR="00ED0207" w:rsidRPr="003224CD">
              <w:rPr>
                <w:rFonts w:ascii="Arial" w:hAnsi="Arial" w:cs="Arial"/>
              </w:rPr>
              <w:t>based in the adult Emergency department. Exposure to all aspects of Emergency medicine including resuscitation, major medical and surgical presentations, minor injuries and illness as well as GP stream presentations. Observational medicine in Emergency ward.</w:t>
            </w:r>
            <w:r w:rsidR="000B1813" w:rsidRPr="003224CD">
              <w:rPr>
                <w:rFonts w:ascii="Arial" w:hAnsi="Arial" w:cs="Arial"/>
              </w:rPr>
              <w:t xml:space="preserve"> Psychiatry, </w:t>
            </w:r>
            <w:proofErr w:type="spellStart"/>
            <w:r w:rsidR="000B1813" w:rsidRPr="003224CD">
              <w:rPr>
                <w:rFonts w:ascii="Arial" w:hAnsi="Arial" w:cs="Arial"/>
              </w:rPr>
              <w:t>Gynaecology</w:t>
            </w:r>
            <w:proofErr w:type="spellEnd"/>
            <w:r w:rsidR="000B1813" w:rsidRPr="003224CD">
              <w:rPr>
                <w:rFonts w:ascii="Arial" w:hAnsi="Arial" w:cs="Arial"/>
              </w:rPr>
              <w:t>, ENT and Ophthalmology also covered.</w:t>
            </w:r>
          </w:p>
          <w:p w:rsidR="00770F1A" w:rsidRPr="003224CD" w:rsidRDefault="00770F1A">
            <w:pPr>
              <w:spacing w:line="276" w:lineRule="auto"/>
              <w:rPr>
                <w:rFonts w:ascii="Arial" w:hAnsi="Arial" w:cs="Arial"/>
              </w:rPr>
            </w:pPr>
          </w:p>
        </w:tc>
      </w:tr>
      <w:tr w:rsidR="00770F1A" w:rsidTr="00770F1A">
        <w:trPr>
          <w:trHeight w:val="144"/>
        </w:trPr>
        <w:tc>
          <w:tcPr>
            <w:tcW w:w="3851" w:type="dxa"/>
            <w:tcBorders>
              <w:top w:val="single" w:sz="4" w:space="0" w:color="auto"/>
              <w:left w:val="single" w:sz="4" w:space="0" w:color="auto"/>
              <w:bottom w:val="single" w:sz="4" w:space="0" w:color="auto"/>
              <w:right w:val="single" w:sz="4" w:space="0" w:color="auto"/>
            </w:tcBorders>
            <w:hideMark/>
          </w:tcPr>
          <w:p w:rsidR="00770F1A" w:rsidRDefault="00770F1A" w:rsidP="00770F1A">
            <w:pPr>
              <w:spacing w:line="276" w:lineRule="auto"/>
              <w:rPr>
                <w:rFonts w:ascii="Arial" w:hAnsi="Arial" w:cs="Arial"/>
                <w:b/>
              </w:rPr>
            </w:pPr>
            <w:r>
              <w:rPr>
                <w:rFonts w:ascii="Arial" w:hAnsi="Arial" w:cs="Arial"/>
                <w:b/>
                <w:sz w:val="22"/>
                <w:szCs w:val="22"/>
              </w:rPr>
              <w:t>Clinical Supervisor(s) for the placement</w:t>
            </w:r>
          </w:p>
        </w:tc>
        <w:tc>
          <w:tcPr>
            <w:tcW w:w="5329" w:type="dxa"/>
            <w:tcBorders>
              <w:top w:val="single" w:sz="4" w:space="0" w:color="auto"/>
              <w:left w:val="single" w:sz="4" w:space="0" w:color="auto"/>
              <w:bottom w:val="single" w:sz="4" w:space="0" w:color="auto"/>
              <w:right w:val="single" w:sz="4" w:space="0" w:color="auto"/>
            </w:tcBorders>
          </w:tcPr>
          <w:p w:rsidR="00770F1A" w:rsidRPr="003224CD" w:rsidRDefault="00212FF1" w:rsidP="00066047">
            <w:pPr>
              <w:spacing w:line="276" w:lineRule="auto"/>
              <w:rPr>
                <w:rFonts w:ascii="Arial" w:hAnsi="Arial" w:cs="Arial"/>
              </w:rPr>
            </w:pPr>
            <w:r w:rsidRPr="004564AE">
              <w:rPr>
                <w:rFonts w:ascii="Arial" w:hAnsi="Arial" w:cs="Arial"/>
              </w:rPr>
              <w:t xml:space="preserve">Dr Earby </w:t>
            </w:r>
            <w:r w:rsidR="004564AE" w:rsidRPr="004564AE">
              <w:rPr>
                <w:rFonts w:ascii="Arial" w:hAnsi="Arial" w:cs="Arial"/>
              </w:rPr>
              <w:t xml:space="preserve">Dr Roberts, </w:t>
            </w:r>
            <w:proofErr w:type="spellStart"/>
            <w:r w:rsidR="00430C19">
              <w:rPr>
                <w:rFonts w:ascii="Arial" w:hAnsi="Arial" w:cs="Arial"/>
              </w:rPr>
              <w:t>Ms</w:t>
            </w:r>
            <w:proofErr w:type="spellEnd"/>
            <w:r w:rsidR="004564AE" w:rsidRPr="004564AE">
              <w:rPr>
                <w:rFonts w:ascii="Arial" w:hAnsi="Arial" w:cs="Arial"/>
              </w:rPr>
              <w:t xml:space="preserve"> </w:t>
            </w:r>
            <w:proofErr w:type="spellStart"/>
            <w:r w:rsidR="004564AE" w:rsidRPr="004564AE">
              <w:rPr>
                <w:rFonts w:ascii="Arial" w:hAnsi="Arial" w:cs="Arial"/>
              </w:rPr>
              <w:t>Longstaff</w:t>
            </w:r>
            <w:proofErr w:type="spellEnd"/>
            <w:r w:rsidR="004564AE" w:rsidRPr="004564AE">
              <w:rPr>
                <w:rFonts w:ascii="Arial" w:hAnsi="Arial" w:cs="Arial"/>
              </w:rPr>
              <w:t xml:space="preserve">, </w:t>
            </w:r>
            <w:r w:rsidR="000B1813" w:rsidRPr="004564AE">
              <w:rPr>
                <w:rFonts w:ascii="Arial" w:hAnsi="Arial" w:cs="Arial"/>
              </w:rPr>
              <w:t xml:space="preserve">Dr </w:t>
            </w:r>
            <w:r w:rsidR="007D018F" w:rsidRPr="004564AE">
              <w:rPr>
                <w:rFonts w:ascii="Arial" w:hAnsi="Arial" w:cs="Arial"/>
              </w:rPr>
              <w:t>Pillay</w:t>
            </w:r>
            <w:r w:rsidR="00B348DD">
              <w:rPr>
                <w:rFonts w:ascii="Arial" w:hAnsi="Arial" w:cs="Arial"/>
              </w:rPr>
              <w:t xml:space="preserve">, Dr </w:t>
            </w:r>
            <w:proofErr w:type="spellStart"/>
            <w:r w:rsidR="00B348DD">
              <w:rPr>
                <w:rFonts w:ascii="Arial" w:hAnsi="Arial" w:cs="Arial"/>
              </w:rPr>
              <w:t>Patil</w:t>
            </w:r>
            <w:proofErr w:type="spellEnd"/>
            <w:r w:rsidR="000B1813" w:rsidRPr="004564AE">
              <w:rPr>
                <w:rFonts w:ascii="Arial" w:hAnsi="Arial" w:cs="Arial"/>
              </w:rPr>
              <w:t>, D</w:t>
            </w:r>
            <w:r w:rsidR="00B348DD">
              <w:rPr>
                <w:rFonts w:ascii="Arial" w:hAnsi="Arial" w:cs="Arial"/>
              </w:rPr>
              <w:t xml:space="preserve">r </w:t>
            </w:r>
            <w:proofErr w:type="spellStart"/>
            <w:r w:rsidR="00B348DD">
              <w:rPr>
                <w:rFonts w:ascii="Arial" w:hAnsi="Arial" w:cs="Arial"/>
              </w:rPr>
              <w:t>Greenslade</w:t>
            </w:r>
            <w:proofErr w:type="spellEnd"/>
            <w:r w:rsidR="00B348DD">
              <w:rPr>
                <w:rFonts w:ascii="Arial" w:hAnsi="Arial" w:cs="Arial"/>
              </w:rPr>
              <w:t>, Dr O Shaughnessy</w:t>
            </w:r>
            <w:r w:rsidR="007D018F" w:rsidRPr="004564AE">
              <w:rPr>
                <w:rFonts w:ascii="Arial" w:hAnsi="Arial" w:cs="Arial"/>
              </w:rPr>
              <w:t xml:space="preserve"> &amp; </w:t>
            </w:r>
            <w:r w:rsidRPr="004564AE">
              <w:rPr>
                <w:rFonts w:ascii="Arial" w:hAnsi="Arial" w:cs="Arial"/>
              </w:rPr>
              <w:t xml:space="preserve">Dr </w:t>
            </w:r>
            <w:r w:rsidR="00B348DD">
              <w:rPr>
                <w:rFonts w:ascii="Arial" w:hAnsi="Arial" w:cs="Arial"/>
              </w:rPr>
              <w:t>Deol, Dr Finlay</w:t>
            </w:r>
            <w:r w:rsidRPr="004564AE">
              <w:rPr>
                <w:rFonts w:ascii="Arial" w:hAnsi="Arial" w:cs="Arial"/>
              </w:rPr>
              <w:t xml:space="preserve"> </w:t>
            </w:r>
          </w:p>
          <w:p w:rsidR="00066047" w:rsidRPr="003224CD" w:rsidRDefault="00066047" w:rsidP="00066047">
            <w:pPr>
              <w:spacing w:line="276" w:lineRule="auto"/>
              <w:rPr>
                <w:rFonts w:ascii="Arial" w:hAnsi="Arial" w:cs="Arial"/>
              </w:rPr>
            </w:pPr>
          </w:p>
        </w:tc>
      </w:tr>
      <w:tr w:rsidR="00770F1A" w:rsidTr="00770F1A">
        <w:trPr>
          <w:trHeight w:val="144"/>
        </w:trPr>
        <w:tc>
          <w:tcPr>
            <w:tcW w:w="3851"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rPr>
                <w:rFonts w:ascii="Arial" w:hAnsi="Arial" w:cs="Arial"/>
                <w:b/>
              </w:rPr>
            </w:pPr>
            <w:r>
              <w:rPr>
                <w:rFonts w:ascii="Arial" w:hAnsi="Arial" w:cs="Arial"/>
                <w:b/>
                <w:sz w:val="22"/>
                <w:szCs w:val="22"/>
              </w:rPr>
              <w:t>Main duties of the placement</w:t>
            </w:r>
          </w:p>
        </w:tc>
        <w:tc>
          <w:tcPr>
            <w:tcW w:w="5329" w:type="dxa"/>
            <w:tcBorders>
              <w:top w:val="single" w:sz="4" w:space="0" w:color="auto"/>
              <w:left w:val="single" w:sz="4" w:space="0" w:color="auto"/>
              <w:bottom w:val="single" w:sz="4" w:space="0" w:color="auto"/>
              <w:right w:val="single" w:sz="4" w:space="0" w:color="auto"/>
            </w:tcBorders>
          </w:tcPr>
          <w:p w:rsidR="00770F1A" w:rsidRPr="003224CD" w:rsidRDefault="000B1813" w:rsidP="00766725">
            <w:pPr>
              <w:spacing w:line="276" w:lineRule="auto"/>
              <w:rPr>
                <w:rFonts w:ascii="Arial" w:hAnsi="Arial" w:cs="Arial"/>
              </w:rPr>
            </w:pPr>
            <w:r w:rsidRPr="003224CD">
              <w:rPr>
                <w:rFonts w:ascii="Arial" w:hAnsi="Arial" w:cs="Arial"/>
              </w:rPr>
              <w:t>Management of all presentations including history, examination, investigation, differential diagnosis and management plan. Ward work including arranging</w:t>
            </w:r>
            <w:r w:rsidR="00057EF3" w:rsidRPr="003224CD">
              <w:rPr>
                <w:rFonts w:ascii="Arial" w:hAnsi="Arial" w:cs="Arial"/>
              </w:rPr>
              <w:t xml:space="preserve"> </w:t>
            </w:r>
            <w:r w:rsidRPr="003224CD">
              <w:rPr>
                <w:rFonts w:ascii="Arial" w:hAnsi="Arial" w:cs="Arial"/>
              </w:rPr>
              <w:t>complex investigations, liaison with MDT and safe discharge. Opportunities for all practical procedures suitable for the F1 year. There is 24 hour senior cover present in the department at all times for advice, review and work based tuition.</w:t>
            </w:r>
          </w:p>
          <w:p w:rsidR="00770F1A" w:rsidRPr="003224CD" w:rsidRDefault="00770F1A">
            <w:pPr>
              <w:spacing w:line="276" w:lineRule="auto"/>
              <w:jc w:val="both"/>
              <w:rPr>
                <w:rFonts w:ascii="Arial" w:hAnsi="Arial" w:cs="Arial"/>
              </w:rPr>
            </w:pPr>
          </w:p>
        </w:tc>
      </w:tr>
      <w:tr w:rsidR="00770F1A" w:rsidTr="00770F1A">
        <w:trPr>
          <w:trHeight w:val="144"/>
        </w:trPr>
        <w:tc>
          <w:tcPr>
            <w:tcW w:w="3851"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jc w:val="both"/>
              <w:rPr>
                <w:rFonts w:ascii="Arial" w:hAnsi="Arial" w:cs="Arial"/>
                <w:b/>
              </w:rPr>
            </w:pPr>
            <w:r>
              <w:rPr>
                <w:rFonts w:ascii="Arial" w:hAnsi="Arial" w:cs="Arial"/>
                <w:b/>
                <w:sz w:val="22"/>
                <w:szCs w:val="22"/>
              </w:rPr>
              <w:t>Typical working pattern in this placement</w:t>
            </w:r>
          </w:p>
        </w:tc>
        <w:tc>
          <w:tcPr>
            <w:tcW w:w="5329" w:type="dxa"/>
            <w:tcBorders>
              <w:top w:val="single" w:sz="4" w:space="0" w:color="auto"/>
              <w:left w:val="single" w:sz="4" w:space="0" w:color="auto"/>
              <w:bottom w:val="single" w:sz="4" w:space="0" w:color="auto"/>
              <w:right w:val="single" w:sz="4" w:space="0" w:color="auto"/>
            </w:tcBorders>
          </w:tcPr>
          <w:p w:rsidR="00274801" w:rsidRDefault="000B1813">
            <w:pPr>
              <w:spacing w:line="276" w:lineRule="auto"/>
              <w:rPr>
                <w:rFonts w:ascii="Arial" w:hAnsi="Arial" w:cs="Arial"/>
              </w:rPr>
            </w:pPr>
            <w:r w:rsidRPr="003224CD">
              <w:rPr>
                <w:rFonts w:ascii="Arial" w:hAnsi="Arial" w:cs="Arial"/>
              </w:rPr>
              <w:t>1</w:t>
            </w:r>
            <w:r w:rsidR="007D018F">
              <w:rPr>
                <w:rFonts w:ascii="Arial" w:hAnsi="Arial" w:cs="Arial"/>
              </w:rPr>
              <w:t>a</w:t>
            </w:r>
            <w:r w:rsidRPr="003224CD">
              <w:rPr>
                <w:rFonts w:ascii="Arial" w:hAnsi="Arial" w:cs="Arial"/>
              </w:rPr>
              <w:t xml:space="preserve"> banding including out of hours and weekend work.</w:t>
            </w:r>
          </w:p>
          <w:p w:rsidR="003224CD" w:rsidRPr="003224CD" w:rsidRDefault="000B1813">
            <w:pPr>
              <w:spacing w:line="276" w:lineRule="auto"/>
              <w:rPr>
                <w:rFonts w:ascii="Arial" w:hAnsi="Arial" w:cs="Arial"/>
              </w:rPr>
            </w:pPr>
            <w:r w:rsidRPr="003224CD">
              <w:rPr>
                <w:rFonts w:ascii="Arial" w:hAnsi="Arial" w:cs="Arial"/>
              </w:rPr>
              <w:t xml:space="preserve"> </w:t>
            </w:r>
          </w:p>
          <w:p w:rsidR="00066047" w:rsidRPr="003224CD" w:rsidRDefault="003224CD">
            <w:pPr>
              <w:spacing w:line="276" w:lineRule="auto"/>
              <w:rPr>
                <w:rFonts w:ascii="Arial" w:hAnsi="Arial" w:cs="Arial"/>
                <w:b/>
              </w:rPr>
            </w:pPr>
            <w:r w:rsidRPr="003224CD">
              <w:rPr>
                <w:rFonts w:ascii="Arial" w:hAnsi="Arial" w:cs="Arial"/>
                <w:b/>
                <w:i/>
              </w:rPr>
              <w:t>On call requirements:</w:t>
            </w:r>
            <w:r w:rsidRPr="003224CD">
              <w:rPr>
                <w:rFonts w:ascii="Arial" w:hAnsi="Arial" w:cs="Arial"/>
                <w:b/>
              </w:rPr>
              <w:t xml:space="preserve">  </w:t>
            </w:r>
            <w:r w:rsidRPr="003224CD">
              <w:rPr>
                <w:rFonts w:ascii="Arial" w:hAnsi="Arial" w:cs="Arial"/>
                <w:b/>
              </w:rPr>
              <w:br/>
            </w:r>
            <w:r w:rsidR="000B1813" w:rsidRPr="003224CD">
              <w:rPr>
                <w:rFonts w:ascii="Arial" w:hAnsi="Arial" w:cs="Arial"/>
              </w:rPr>
              <w:t>No on call.</w:t>
            </w:r>
          </w:p>
          <w:p w:rsidR="00770F1A" w:rsidRPr="003224CD" w:rsidRDefault="000B1813">
            <w:pPr>
              <w:spacing w:line="276" w:lineRule="auto"/>
              <w:rPr>
                <w:rFonts w:ascii="Arial" w:hAnsi="Arial" w:cs="Arial"/>
              </w:rPr>
            </w:pPr>
            <w:r w:rsidRPr="003224CD">
              <w:rPr>
                <w:rFonts w:ascii="Arial" w:hAnsi="Arial" w:cs="Arial"/>
              </w:rPr>
              <w:t xml:space="preserve"> </w:t>
            </w:r>
          </w:p>
        </w:tc>
      </w:tr>
      <w:tr w:rsidR="00770F1A" w:rsidTr="00770F1A">
        <w:trPr>
          <w:trHeight w:val="144"/>
        </w:trPr>
        <w:tc>
          <w:tcPr>
            <w:tcW w:w="3851" w:type="dxa"/>
            <w:tcBorders>
              <w:top w:val="single" w:sz="4" w:space="0" w:color="auto"/>
              <w:left w:val="single" w:sz="4" w:space="0" w:color="auto"/>
              <w:bottom w:val="single" w:sz="4" w:space="0" w:color="auto"/>
              <w:right w:val="single" w:sz="4" w:space="0" w:color="auto"/>
            </w:tcBorders>
            <w:hideMark/>
          </w:tcPr>
          <w:p w:rsidR="00770F1A" w:rsidRDefault="00770F1A">
            <w:pPr>
              <w:spacing w:line="276" w:lineRule="auto"/>
              <w:rPr>
                <w:rFonts w:ascii="Arial" w:hAnsi="Arial" w:cs="Arial"/>
                <w:b/>
              </w:rPr>
            </w:pPr>
            <w:r>
              <w:rPr>
                <w:rFonts w:ascii="Arial" w:hAnsi="Arial" w:cs="Arial"/>
                <w:b/>
                <w:sz w:val="22"/>
                <w:szCs w:val="22"/>
              </w:rPr>
              <w:t>Employer information</w:t>
            </w:r>
          </w:p>
        </w:tc>
        <w:tc>
          <w:tcPr>
            <w:tcW w:w="5329" w:type="dxa"/>
            <w:tcBorders>
              <w:top w:val="single" w:sz="4" w:space="0" w:color="auto"/>
              <w:left w:val="single" w:sz="4" w:space="0" w:color="auto"/>
              <w:bottom w:val="single" w:sz="4" w:space="0" w:color="auto"/>
              <w:right w:val="single" w:sz="4" w:space="0" w:color="auto"/>
            </w:tcBorders>
          </w:tcPr>
          <w:p w:rsidR="00484ECB" w:rsidRPr="003224CD" w:rsidRDefault="00484ECB" w:rsidP="00484ECB">
            <w:pPr>
              <w:pStyle w:val="BodyText"/>
              <w:jc w:val="left"/>
              <w:rPr>
                <w:rFonts w:ascii="Arial" w:hAnsi="Arial" w:cs="Arial"/>
                <w:sz w:val="24"/>
                <w:szCs w:val="24"/>
              </w:rPr>
            </w:pPr>
            <w:r w:rsidRPr="003224CD">
              <w:rPr>
                <w:rFonts w:ascii="Arial" w:hAnsi="Arial" w:cs="Arial"/>
                <w:sz w:val="24"/>
                <w:szCs w:val="24"/>
              </w:rPr>
              <w:t>Chelsea and Westminster Hospital NHS Foundation Trust</w:t>
            </w:r>
          </w:p>
          <w:p w:rsidR="00770F1A" w:rsidRPr="003224CD" w:rsidRDefault="00770F1A" w:rsidP="00274801">
            <w:pPr>
              <w:pStyle w:val="BodyText"/>
              <w:spacing w:line="276" w:lineRule="auto"/>
              <w:rPr>
                <w:rFonts w:ascii="Arial" w:hAnsi="Arial" w:cs="Arial"/>
                <w:sz w:val="24"/>
                <w:szCs w:val="24"/>
              </w:rPr>
            </w:pPr>
          </w:p>
        </w:tc>
      </w:tr>
    </w:tbl>
    <w:p w:rsidR="00770F1A" w:rsidRDefault="00770F1A" w:rsidP="00770F1A">
      <w:pPr>
        <w:rPr>
          <w:rFonts w:ascii="Arial" w:hAnsi="Arial" w:cs="Arial"/>
          <w:sz w:val="22"/>
          <w:szCs w:val="22"/>
        </w:rPr>
      </w:pPr>
    </w:p>
    <w:p w:rsidR="00770F1A" w:rsidRDefault="00770F1A" w:rsidP="00057EF3">
      <w:r>
        <w:rPr>
          <w:rFonts w:ascii="Arial" w:hAnsi="Arial" w:cs="Arial"/>
          <w:sz w:val="22"/>
          <w:szCs w:val="22"/>
        </w:rPr>
        <w:t>It is important to note that this description is a typical example of your placement and may be subject to change.</w:t>
      </w:r>
      <w:r>
        <w:t xml:space="preserve">                             </w:t>
      </w:r>
    </w:p>
    <w:p w:rsidR="00C220DB" w:rsidRPr="00770F1A" w:rsidRDefault="00C220DB">
      <w:pPr>
        <w:rPr>
          <w:rFonts w:ascii="Arial" w:hAnsi="Arial" w:cs="Arial"/>
          <w:sz w:val="22"/>
          <w:szCs w:val="22"/>
        </w:rPr>
      </w:pPr>
    </w:p>
    <w:sectPr w:rsidR="00C220DB" w:rsidRPr="00770F1A" w:rsidSect="003224CD">
      <w:pgSz w:w="11906" w:h="16838"/>
      <w:pgMar w:top="851" w:right="1440" w:bottom="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1A"/>
    <w:rsid w:val="00002796"/>
    <w:rsid w:val="00057EF3"/>
    <w:rsid w:val="00066047"/>
    <w:rsid w:val="000B1813"/>
    <w:rsid w:val="000C7A7F"/>
    <w:rsid w:val="000F46D7"/>
    <w:rsid w:val="00212FF1"/>
    <w:rsid w:val="00274801"/>
    <w:rsid w:val="003224CD"/>
    <w:rsid w:val="00380D81"/>
    <w:rsid w:val="003C5557"/>
    <w:rsid w:val="00430C19"/>
    <w:rsid w:val="004564AE"/>
    <w:rsid w:val="00484ECB"/>
    <w:rsid w:val="004C55CB"/>
    <w:rsid w:val="0057440F"/>
    <w:rsid w:val="00766725"/>
    <w:rsid w:val="00770F1A"/>
    <w:rsid w:val="007D018F"/>
    <w:rsid w:val="008122A1"/>
    <w:rsid w:val="008442ED"/>
    <w:rsid w:val="009446B8"/>
    <w:rsid w:val="00AA78DB"/>
    <w:rsid w:val="00AF049C"/>
    <w:rsid w:val="00B30362"/>
    <w:rsid w:val="00B348DD"/>
    <w:rsid w:val="00BB1744"/>
    <w:rsid w:val="00C06228"/>
    <w:rsid w:val="00C220DB"/>
    <w:rsid w:val="00C27CC6"/>
    <w:rsid w:val="00E4061E"/>
    <w:rsid w:val="00ED0207"/>
    <w:rsid w:val="00FB3F98"/>
    <w:rsid w:val="00FE0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1A"/>
    <w:pPr>
      <w:spacing w:after="0" w:line="240" w:lineRule="auto"/>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70F1A"/>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770F1A"/>
    <w:rPr>
      <w:rFonts w:eastAsia="Times New Roman"/>
      <w:sz w:val="22"/>
      <w:szCs w:val="20"/>
    </w:rPr>
  </w:style>
  <w:style w:type="paragraph" w:styleId="BalloonText">
    <w:name w:val="Balloon Text"/>
    <w:basedOn w:val="Normal"/>
    <w:link w:val="BalloonTextChar"/>
    <w:uiPriority w:val="99"/>
    <w:semiHidden/>
    <w:unhideWhenUsed/>
    <w:rsid w:val="004C55CB"/>
    <w:rPr>
      <w:rFonts w:ascii="Tahoma" w:hAnsi="Tahoma" w:cs="Tahoma"/>
      <w:sz w:val="16"/>
      <w:szCs w:val="16"/>
    </w:rPr>
  </w:style>
  <w:style w:type="character" w:customStyle="1" w:styleId="BalloonTextChar">
    <w:name w:val="Balloon Text Char"/>
    <w:basedOn w:val="DefaultParagraphFont"/>
    <w:link w:val="BalloonText"/>
    <w:uiPriority w:val="99"/>
    <w:semiHidden/>
    <w:rsid w:val="004C55CB"/>
    <w:rPr>
      <w:rFonts w:ascii="Tahoma" w:eastAsia="Times New Roman" w:hAnsi="Tahoma" w:cs="Tahoma"/>
      <w:sz w:val="16"/>
      <w:szCs w:val="16"/>
      <w:lang w:val="en-US"/>
    </w:rPr>
  </w:style>
  <w:style w:type="character" w:styleId="Hyperlink">
    <w:name w:val="Hyperlink"/>
    <w:basedOn w:val="DefaultParagraphFont"/>
    <w:uiPriority w:val="99"/>
    <w:unhideWhenUsed/>
    <w:rsid w:val="000B18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1A"/>
    <w:pPr>
      <w:spacing w:after="0" w:line="240" w:lineRule="auto"/>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70F1A"/>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rsid w:val="00770F1A"/>
    <w:rPr>
      <w:rFonts w:eastAsia="Times New Roman"/>
      <w:sz w:val="22"/>
      <w:szCs w:val="20"/>
    </w:rPr>
  </w:style>
  <w:style w:type="paragraph" w:styleId="BalloonText">
    <w:name w:val="Balloon Text"/>
    <w:basedOn w:val="Normal"/>
    <w:link w:val="BalloonTextChar"/>
    <w:uiPriority w:val="99"/>
    <w:semiHidden/>
    <w:unhideWhenUsed/>
    <w:rsid w:val="004C55CB"/>
    <w:rPr>
      <w:rFonts w:ascii="Tahoma" w:hAnsi="Tahoma" w:cs="Tahoma"/>
      <w:sz w:val="16"/>
      <w:szCs w:val="16"/>
    </w:rPr>
  </w:style>
  <w:style w:type="character" w:customStyle="1" w:styleId="BalloonTextChar">
    <w:name w:val="Balloon Text Char"/>
    <w:basedOn w:val="DefaultParagraphFont"/>
    <w:link w:val="BalloonText"/>
    <w:uiPriority w:val="99"/>
    <w:semiHidden/>
    <w:rsid w:val="004C55CB"/>
    <w:rPr>
      <w:rFonts w:ascii="Tahoma" w:eastAsia="Times New Roman" w:hAnsi="Tahoma" w:cs="Tahoma"/>
      <w:sz w:val="16"/>
      <w:szCs w:val="16"/>
      <w:lang w:val="en-US"/>
    </w:rPr>
  </w:style>
  <w:style w:type="character" w:styleId="Hyperlink">
    <w:name w:val="Hyperlink"/>
    <w:basedOn w:val="DefaultParagraphFont"/>
    <w:uiPriority w:val="99"/>
    <w:unhideWhenUsed/>
    <w:rsid w:val="000B18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5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afwright</dc:creator>
  <cp:lastModifiedBy>Ferres, Jonathan</cp:lastModifiedBy>
  <cp:revision>2</cp:revision>
  <dcterms:created xsi:type="dcterms:W3CDTF">2016-01-12T10:43:00Z</dcterms:created>
  <dcterms:modified xsi:type="dcterms:W3CDTF">2016-01-12T10:43:00Z</dcterms:modified>
</cp:coreProperties>
</file>