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3B" w:rsidRDefault="00D0003B" w:rsidP="00D0003B">
      <w:pPr>
        <w:tabs>
          <w:tab w:val="center" w:pos="5040"/>
          <w:tab w:val="right" w:pos="9900"/>
        </w:tabs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3E3B963A" wp14:editId="0EFF0188">
            <wp:extent cx="2786380" cy="621030"/>
            <wp:effectExtent l="19050" t="0" r="0" b="0"/>
            <wp:docPr id="6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82" w:rsidRPr="002C3834" w:rsidRDefault="00706CCD" w:rsidP="00676E8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FY2 </w:t>
      </w:r>
      <w:r w:rsidRPr="00706CCD">
        <w:rPr>
          <w:rFonts w:ascii="Arial" w:hAnsi="Arial" w:cs="Arial"/>
          <w:b/>
          <w:sz w:val="28"/>
          <w:szCs w:val="28"/>
        </w:rPr>
        <w:t xml:space="preserve">Academic </w:t>
      </w:r>
      <w:proofErr w:type="spellStart"/>
      <w:r w:rsidRPr="00706CCD">
        <w:rPr>
          <w:rFonts w:ascii="Arial" w:hAnsi="Arial" w:cs="Arial"/>
          <w:b/>
          <w:sz w:val="28"/>
          <w:szCs w:val="28"/>
        </w:rPr>
        <w:t>Anaesthetics</w:t>
      </w:r>
      <w:proofErr w:type="spellEnd"/>
      <w:r w:rsidRPr="00706CCD">
        <w:rPr>
          <w:rFonts w:ascii="Arial" w:hAnsi="Arial" w:cs="Arial"/>
          <w:b/>
          <w:sz w:val="28"/>
          <w:szCs w:val="28"/>
        </w:rPr>
        <w:t xml:space="preserve"> </w:t>
      </w:r>
    </w:p>
    <w:p w:rsidR="00676E82" w:rsidRDefault="00676E82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676E82" w:rsidRPr="0043462B" w:rsidRDefault="00676E82" w:rsidP="00676E82">
      <w:pPr>
        <w:rPr>
          <w:rFonts w:ascii="Arial" w:hAnsi="Arial" w:cs="Arial"/>
          <w:sz w:val="22"/>
          <w:szCs w:val="22"/>
        </w:rPr>
      </w:pPr>
      <w:r w:rsidRPr="0043462B">
        <w:rPr>
          <w:rFonts w:ascii="Arial" w:hAnsi="Arial" w:cs="Arial"/>
          <w:sz w:val="22"/>
          <w:szCs w:val="22"/>
        </w:rPr>
        <w:t>All information to be completed by</w:t>
      </w:r>
      <w:r>
        <w:rPr>
          <w:rFonts w:ascii="Arial" w:hAnsi="Arial" w:cs="Arial"/>
          <w:sz w:val="22"/>
          <w:szCs w:val="22"/>
        </w:rPr>
        <w:t xml:space="preserve"> the Trust</w:t>
      </w:r>
    </w:p>
    <w:p w:rsidR="00676E82" w:rsidRDefault="00676E82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329"/>
      </w:tblGrid>
      <w:tr w:rsidR="00676E82" w:rsidRPr="004F4EE0" w:rsidTr="00530BAD">
        <w:trPr>
          <w:trHeight w:val="144"/>
        </w:trPr>
        <w:tc>
          <w:tcPr>
            <w:tcW w:w="3851" w:type="dxa"/>
          </w:tcPr>
          <w:p w:rsidR="00676E82" w:rsidRPr="004F4EE0" w:rsidRDefault="00676E82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329" w:type="dxa"/>
            <w:vAlign w:val="bottom"/>
          </w:tcPr>
          <w:p w:rsidR="00676E82" w:rsidRPr="00F909C5" w:rsidRDefault="00B04EB3" w:rsidP="00530BAD">
            <w:pPr>
              <w:rPr>
                <w:rFonts w:ascii="Arial" w:hAnsi="Arial" w:cs="Arial"/>
              </w:rPr>
            </w:pPr>
            <w:r w:rsidRPr="00B04EB3">
              <w:rPr>
                <w:rFonts w:ascii="Arial" w:hAnsi="Arial" w:cs="Arial"/>
              </w:rPr>
              <w:t xml:space="preserve">Academic </w:t>
            </w:r>
            <w:proofErr w:type="spellStart"/>
            <w:r w:rsidRPr="00B04EB3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>a</w:t>
            </w:r>
            <w:r w:rsidRPr="00B04EB3">
              <w:rPr>
                <w:rFonts w:ascii="Arial" w:hAnsi="Arial" w:cs="Arial"/>
              </w:rPr>
              <w:t>esthetics</w:t>
            </w:r>
            <w:proofErr w:type="spellEnd"/>
            <w:r w:rsidRPr="00B04EB3">
              <w:rPr>
                <w:rFonts w:ascii="Arial" w:hAnsi="Arial" w:cs="Arial"/>
              </w:rPr>
              <w:t xml:space="preserve"> </w:t>
            </w:r>
          </w:p>
          <w:p w:rsidR="00676E82" w:rsidRPr="00F909C5" w:rsidRDefault="00676E82" w:rsidP="00530BAD">
            <w:pPr>
              <w:rPr>
                <w:rFonts w:ascii="Arial" w:hAnsi="Arial" w:cs="Arial"/>
              </w:rPr>
            </w:pPr>
          </w:p>
        </w:tc>
      </w:tr>
      <w:tr w:rsidR="00676E82" w:rsidRPr="004F4EE0" w:rsidTr="00530BAD">
        <w:trPr>
          <w:trHeight w:val="144"/>
        </w:trPr>
        <w:tc>
          <w:tcPr>
            <w:tcW w:w="3851" w:type="dxa"/>
          </w:tcPr>
          <w:p w:rsidR="00676E82" w:rsidRDefault="00676E82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329" w:type="dxa"/>
            <w:vAlign w:val="bottom"/>
          </w:tcPr>
          <w:p w:rsidR="00676E82" w:rsidRDefault="00B04EB3" w:rsidP="00530B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Anaesthetics</w:t>
            </w:r>
            <w:proofErr w:type="spellEnd"/>
          </w:p>
          <w:p w:rsidR="00530BAD" w:rsidRPr="00F909C5" w:rsidRDefault="00530BAD" w:rsidP="00530BAD">
            <w:pPr>
              <w:rPr>
                <w:rFonts w:ascii="Arial" w:hAnsi="Arial" w:cs="Arial"/>
              </w:rPr>
            </w:pPr>
          </w:p>
        </w:tc>
      </w:tr>
      <w:tr w:rsidR="00330007" w:rsidRPr="004F4EE0" w:rsidTr="00530BAD">
        <w:trPr>
          <w:trHeight w:val="144"/>
        </w:trPr>
        <w:tc>
          <w:tcPr>
            <w:tcW w:w="3851" w:type="dxa"/>
          </w:tcPr>
          <w:p w:rsidR="00330007" w:rsidRPr="004F4EE0" w:rsidRDefault="00330007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329" w:type="dxa"/>
            <w:vAlign w:val="bottom"/>
          </w:tcPr>
          <w:p w:rsidR="00330007" w:rsidRPr="00F909C5" w:rsidRDefault="00B04EB3" w:rsidP="00530BAD">
            <w:pPr>
              <w:rPr>
                <w:rFonts w:ascii="Arial" w:hAnsi="Arial" w:cs="Arial"/>
              </w:rPr>
            </w:pPr>
            <w:r w:rsidRPr="00B04EB3">
              <w:rPr>
                <w:rFonts w:ascii="Arial" w:hAnsi="Arial" w:cs="Arial"/>
              </w:rPr>
              <w:t>Chelsea and Westminster</w:t>
            </w:r>
          </w:p>
          <w:p w:rsidR="00330007" w:rsidRPr="00F909C5" w:rsidRDefault="00330007" w:rsidP="00530BAD">
            <w:pPr>
              <w:rPr>
                <w:rFonts w:ascii="Arial" w:hAnsi="Arial" w:cs="Arial"/>
              </w:rPr>
            </w:pPr>
          </w:p>
        </w:tc>
      </w:tr>
      <w:tr w:rsidR="00676E82" w:rsidRPr="004F4EE0" w:rsidTr="00411D72">
        <w:trPr>
          <w:trHeight w:val="144"/>
        </w:trPr>
        <w:tc>
          <w:tcPr>
            <w:tcW w:w="3851" w:type="dxa"/>
          </w:tcPr>
          <w:p w:rsidR="00676E82" w:rsidRPr="00047073" w:rsidRDefault="00676E82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329" w:type="dxa"/>
          </w:tcPr>
          <w:p w:rsidR="00676E82" w:rsidRDefault="00B04EB3" w:rsidP="00434404">
            <w:pPr>
              <w:rPr>
                <w:rFonts w:ascii="Arial" w:hAnsi="Arial" w:cs="Arial"/>
              </w:rPr>
            </w:pPr>
            <w:r w:rsidRPr="00B04EB3">
              <w:rPr>
                <w:rFonts w:ascii="Arial" w:hAnsi="Arial" w:cs="Arial"/>
              </w:rPr>
              <w:t xml:space="preserve">They are one of a small number of academic FY2 posts offering various clinical research experiences. </w:t>
            </w:r>
          </w:p>
          <w:p w:rsidR="00330007" w:rsidRDefault="00330007" w:rsidP="00434404">
            <w:pPr>
              <w:rPr>
                <w:rFonts w:ascii="Arial" w:hAnsi="Arial" w:cs="Arial"/>
              </w:rPr>
            </w:pPr>
          </w:p>
          <w:p w:rsidR="00330007" w:rsidRPr="00F909C5" w:rsidRDefault="00B04EB3" w:rsidP="00434404">
            <w:pPr>
              <w:rPr>
                <w:rFonts w:ascii="Arial" w:hAnsi="Arial" w:cs="Arial"/>
              </w:rPr>
            </w:pPr>
            <w:r w:rsidRPr="00B04EB3">
              <w:rPr>
                <w:rFonts w:ascii="Arial" w:hAnsi="Arial" w:cs="Arial"/>
              </w:rPr>
              <w:t xml:space="preserve">We also expect the FY2 doctor to develop skills in education, for example through simulation sessions and practical skill sessions </w:t>
            </w:r>
            <w:proofErr w:type="spellStart"/>
            <w:r w:rsidRPr="00B04EB3">
              <w:rPr>
                <w:rFonts w:ascii="Arial" w:hAnsi="Arial" w:cs="Arial"/>
              </w:rPr>
              <w:t>organised</w:t>
            </w:r>
            <w:proofErr w:type="spellEnd"/>
            <w:r w:rsidRPr="00B04EB3">
              <w:rPr>
                <w:rFonts w:ascii="Arial" w:hAnsi="Arial" w:cs="Arial"/>
              </w:rPr>
              <w:t xml:space="preserve"> by the department for </w:t>
            </w:r>
            <w:proofErr w:type="spellStart"/>
            <w:r w:rsidRPr="00B04EB3">
              <w:rPr>
                <w:rFonts w:ascii="Arial" w:hAnsi="Arial" w:cs="Arial"/>
              </w:rPr>
              <w:t>anaesthetic</w:t>
            </w:r>
            <w:proofErr w:type="spellEnd"/>
            <w:r w:rsidRPr="00B04EB3">
              <w:rPr>
                <w:rFonts w:ascii="Arial" w:hAnsi="Arial" w:cs="Arial"/>
              </w:rPr>
              <w:t xml:space="preserve"> </w:t>
            </w:r>
            <w:proofErr w:type="gramStart"/>
            <w:r w:rsidRPr="00B04EB3">
              <w:rPr>
                <w:rFonts w:ascii="Arial" w:hAnsi="Arial" w:cs="Arial"/>
              </w:rPr>
              <w:t>trainees  .</w:t>
            </w:r>
            <w:proofErr w:type="gramEnd"/>
            <w:r w:rsidRPr="00B04EB3">
              <w:rPr>
                <w:rFonts w:ascii="Arial" w:hAnsi="Arial" w:cs="Arial"/>
              </w:rPr>
              <w:t xml:space="preserve"> Our research extends from </w:t>
            </w:r>
            <w:proofErr w:type="spellStart"/>
            <w:r w:rsidRPr="00B04EB3">
              <w:rPr>
                <w:rFonts w:ascii="Arial" w:hAnsi="Arial" w:cs="Arial"/>
              </w:rPr>
              <w:t>anaesthesia</w:t>
            </w:r>
            <w:proofErr w:type="spellEnd"/>
            <w:r w:rsidRPr="00B04EB3">
              <w:rPr>
                <w:rFonts w:ascii="Arial" w:hAnsi="Arial" w:cs="Arial"/>
              </w:rPr>
              <w:t xml:space="preserve"> through pain and into intensive care. </w:t>
            </w:r>
          </w:p>
          <w:p w:rsidR="00676E82" w:rsidRPr="00F909C5" w:rsidRDefault="00676E82" w:rsidP="00434404">
            <w:pPr>
              <w:rPr>
                <w:rFonts w:ascii="Arial" w:hAnsi="Arial" w:cs="Arial"/>
              </w:rPr>
            </w:pPr>
          </w:p>
        </w:tc>
      </w:tr>
      <w:tr w:rsidR="00676E82" w:rsidRPr="004F4EE0" w:rsidTr="00411D72">
        <w:trPr>
          <w:trHeight w:val="144"/>
        </w:trPr>
        <w:tc>
          <w:tcPr>
            <w:tcW w:w="3851" w:type="dxa"/>
          </w:tcPr>
          <w:p w:rsidR="00676E82" w:rsidRDefault="00676E82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5329" w:type="dxa"/>
          </w:tcPr>
          <w:p w:rsidR="00676E82" w:rsidRPr="00F909C5" w:rsidRDefault="00B04EB3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 Seth Galton</w:t>
            </w:r>
          </w:p>
          <w:p w:rsidR="00676E82" w:rsidRPr="00F909C5" w:rsidRDefault="00676E82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411D72">
        <w:trPr>
          <w:trHeight w:val="144"/>
        </w:trPr>
        <w:tc>
          <w:tcPr>
            <w:tcW w:w="3851" w:type="dxa"/>
          </w:tcPr>
          <w:p w:rsidR="00676E82" w:rsidRDefault="00676E82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5329" w:type="dxa"/>
          </w:tcPr>
          <w:p w:rsidR="00676E82" w:rsidRPr="00F909C5" w:rsidRDefault="00B04EB3" w:rsidP="00434404">
            <w:pPr>
              <w:jc w:val="both"/>
              <w:rPr>
                <w:rFonts w:ascii="Arial" w:hAnsi="Arial" w:cs="Arial"/>
              </w:rPr>
            </w:pPr>
            <w:r w:rsidRPr="00B04EB3">
              <w:rPr>
                <w:rFonts w:ascii="Arial" w:hAnsi="Arial" w:cs="Arial"/>
              </w:rPr>
              <w:t xml:space="preserve">During the 4 months it is possible to </w:t>
            </w:r>
            <w:proofErr w:type="spellStart"/>
            <w:r w:rsidRPr="00B04EB3">
              <w:rPr>
                <w:rFonts w:ascii="Arial" w:hAnsi="Arial" w:cs="Arial"/>
              </w:rPr>
              <w:t>organise</w:t>
            </w:r>
            <w:proofErr w:type="spellEnd"/>
            <w:r w:rsidRPr="00B04EB3">
              <w:rPr>
                <w:rFonts w:ascii="Arial" w:hAnsi="Arial" w:cs="Arial"/>
              </w:rPr>
              <w:t xml:space="preserve"> an individual plan of work or to contribute to a team that is already working on a project. The trust is part of many international trials and there are opportunities to be a local investigator as an academic </w:t>
            </w:r>
            <w:proofErr w:type="spellStart"/>
            <w:r w:rsidRPr="00B04EB3">
              <w:rPr>
                <w:rFonts w:ascii="Arial" w:hAnsi="Arial" w:cs="Arial"/>
              </w:rPr>
              <w:t>anaesthetic</w:t>
            </w:r>
            <w:proofErr w:type="spellEnd"/>
            <w:r w:rsidRPr="00B04EB3">
              <w:rPr>
                <w:rFonts w:ascii="Arial" w:hAnsi="Arial" w:cs="Arial"/>
              </w:rPr>
              <w:t xml:space="preserve"> trainee. This priority for clinical research means that </w:t>
            </w:r>
            <w:proofErr w:type="spellStart"/>
            <w:r w:rsidRPr="00B04EB3">
              <w:rPr>
                <w:rFonts w:ascii="Arial" w:hAnsi="Arial" w:cs="Arial"/>
              </w:rPr>
              <w:t>anaesthetic</w:t>
            </w:r>
            <w:proofErr w:type="spellEnd"/>
            <w:r w:rsidRPr="00B04EB3">
              <w:rPr>
                <w:rFonts w:ascii="Arial" w:hAnsi="Arial" w:cs="Arial"/>
              </w:rPr>
              <w:t xml:space="preserve"> skills are not routinely taught, however it is possible to request to be part of the </w:t>
            </w:r>
            <w:proofErr w:type="spellStart"/>
            <w:r w:rsidRPr="00B04EB3">
              <w:rPr>
                <w:rFonts w:ascii="Arial" w:hAnsi="Arial" w:cs="Arial"/>
              </w:rPr>
              <w:t>anaesthetic</w:t>
            </w:r>
            <w:proofErr w:type="spellEnd"/>
            <w:r w:rsidRPr="00B04EB3">
              <w:rPr>
                <w:rFonts w:ascii="Arial" w:hAnsi="Arial" w:cs="Arial"/>
              </w:rPr>
              <w:t xml:space="preserve"> </w:t>
            </w:r>
            <w:proofErr w:type="spellStart"/>
            <w:r w:rsidRPr="00B04EB3">
              <w:rPr>
                <w:rFonts w:ascii="Arial" w:hAnsi="Arial" w:cs="Arial"/>
              </w:rPr>
              <w:t>rota</w:t>
            </w:r>
            <w:proofErr w:type="spellEnd"/>
            <w:r w:rsidRPr="00B04EB3">
              <w:rPr>
                <w:rFonts w:ascii="Arial" w:hAnsi="Arial" w:cs="Arial"/>
              </w:rPr>
              <w:t xml:space="preserve"> for theatres</w:t>
            </w:r>
          </w:p>
          <w:p w:rsidR="00676E82" w:rsidRDefault="00676E82" w:rsidP="00434404">
            <w:pPr>
              <w:jc w:val="both"/>
              <w:rPr>
                <w:rFonts w:ascii="Arial" w:hAnsi="Arial" w:cs="Arial"/>
              </w:rPr>
            </w:pPr>
          </w:p>
          <w:p w:rsidR="00330007" w:rsidRPr="00F909C5" w:rsidRDefault="00330007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411D72">
        <w:trPr>
          <w:trHeight w:val="144"/>
        </w:trPr>
        <w:tc>
          <w:tcPr>
            <w:tcW w:w="3851" w:type="dxa"/>
          </w:tcPr>
          <w:p w:rsidR="00676E82" w:rsidRDefault="00676E82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5329" w:type="dxa"/>
          </w:tcPr>
          <w:p w:rsidR="00B04EB3" w:rsidRPr="00F909C5" w:rsidRDefault="00805B6D" w:rsidP="00B04E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9-5 </w:t>
            </w:r>
            <w:r w:rsidRPr="00805B6D">
              <w:rPr>
                <w:rFonts w:ascii="Arial" w:hAnsi="Arial" w:cs="Arial"/>
              </w:rPr>
              <w:t>It depends very much on the projects you are involved in.</w:t>
            </w:r>
          </w:p>
          <w:p w:rsidR="00676E82" w:rsidRPr="00F909C5" w:rsidRDefault="00676E82" w:rsidP="00434404">
            <w:pPr>
              <w:rPr>
                <w:rFonts w:ascii="Arial" w:hAnsi="Arial" w:cs="Arial"/>
              </w:rPr>
            </w:pPr>
          </w:p>
        </w:tc>
      </w:tr>
      <w:tr w:rsidR="00676E82" w:rsidRPr="004F4EE0" w:rsidTr="00411D72">
        <w:trPr>
          <w:trHeight w:val="144"/>
        </w:trPr>
        <w:tc>
          <w:tcPr>
            <w:tcW w:w="3851" w:type="dxa"/>
          </w:tcPr>
          <w:p w:rsidR="00676E82" w:rsidRPr="00C70B03" w:rsidRDefault="00676E82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5329" w:type="dxa"/>
          </w:tcPr>
          <w:p w:rsidR="00676E82" w:rsidRPr="00F909C5" w:rsidRDefault="00B04EB3" w:rsidP="00434404">
            <w:pPr>
              <w:pStyle w:val="BodyText"/>
              <w:rPr>
                <w:rFonts w:ascii="Arial" w:hAnsi="Arial" w:cs="Arial"/>
                <w:szCs w:val="22"/>
              </w:rPr>
            </w:pPr>
            <w:r w:rsidRPr="00B04EB3">
              <w:rPr>
                <w:rFonts w:ascii="Arial" w:hAnsi="Arial" w:cs="Arial"/>
                <w:szCs w:val="22"/>
              </w:rPr>
              <w:t>Chelsea and Westminster Hospital NHS Foundation Trust</w:t>
            </w:r>
          </w:p>
          <w:p w:rsidR="00676E82" w:rsidRPr="00F909C5" w:rsidRDefault="00676E82" w:rsidP="00434404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</w:tr>
    </w:tbl>
    <w:p w:rsidR="00676E82" w:rsidRDefault="00676E82" w:rsidP="00676E82">
      <w:pPr>
        <w:rPr>
          <w:rFonts w:ascii="Arial" w:hAnsi="Arial" w:cs="Arial"/>
          <w:sz w:val="22"/>
          <w:szCs w:val="22"/>
        </w:rPr>
      </w:pPr>
    </w:p>
    <w:p w:rsidR="00676E82" w:rsidRPr="000127C0" w:rsidRDefault="00676E82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676E82" w:rsidRPr="000127C0" w:rsidRDefault="00676E82" w:rsidP="00676E82">
      <w:pPr>
        <w:rPr>
          <w:rFonts w:ascii="Arial" w:hAnsi="Arial" w:cs="Arial"/>
          <w:sz w:val="22"/>
          <w:szCs w:val="22"/>
        </w:rPr>
      </w:pPr>
    </w:p>
    <w:p w:rsidR="00676E82" w:rsidRDefault="00676E82" w:rsidP="00B04EB3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sectPr w:rsidR="00676E82" w:rsidSect="004F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330007"/>
    <w:rsid w:val="00411D72"/>
    <w:rsid w:val="004F65B6"/>
    <w:rsid w:val="00530BAD"/>
    <w:rsid w:val="00635A86"/>
    <w:rsid w:val="00676E82"/>
    <w:rsid w:val="00706CCD"/>
    <w:rsid w:val="00805B6D"/>
    <w:rsid w:val="00B04EB3"/>
    <w:rsid w:val="00D0003B"/>
    <w:rsid w:val="00E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76E8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3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76E8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3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pshallar</dc:creator>
  <cp:lastModifiedBy>Ferres, Jonathan</cp:lastModifiedBy>
  <cp:revision>2</cp:revision>
  <dcterms:created xsi:type="dcterms:W3CDTF">2016-01-20T12:25:00Z</dcterms:created>
  <dcterms:modified xsi:type="dcterms:W3CDTF">2016-01-20T12:25:00Z</dcterms:modified>
</cp:coreProperties>
</file>