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7AF" w:rsidRDefault="001007AF" w:rsidP="00676E82">
      <w:pPr>
        <w:tabs>
          <w:tab w:val="left" w:pos="900"/>
        </w:tabs>
        <w:jc w:val="both"/>
        <w:rPr>
          <w:rFonts w:ascii="Arial" w:hAnsi="Arial" w:cs="Arial"/>
          <w:b/>
          <w:sz w:val="22"/>
          <w:szCs w:val="22"/>
        </w:rPr>
      </w:pPr>
    </w:p>
    <w:p w:rsidR="00913A9B" w:rsidRDefault="002C65BC" w:rsidP="007C349E">
      <w:pPr>
        <w:tabs>
          <w:tab w:val="center" w:pos="5040"/>
          <w:tab w:val="right" w:pos="9900"/>
        </w:tabs>
        <w:jc w:val="right"/>
        <w:rPr>
          <w:noProof/>
          <w:lang w:val="en-GB" w:eastAsia="en-GB"/>
        </w:rPr>
      </w:pPr>
      <w:r>
        <w:rPr>
          <w:noProof/>
          <w:lang w:val="en-GB" w:eastAsia="en-GB"/>
        </w:rPr>
        <w:drawing>
          <wp:inline distT="0" distB="0" distL="0" distR="0">
            <wp:extent cx="2790825" cy="619125"/>
            <wp:effectExtent l="0" t="0" r="9525" b="9525"/>
            <wp:docPr id="1" name="Picture 1" descr="NWTFS_logo1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FS_logo1_colo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0825" cy="619125"/>
                    </a:xfrm>
                    <a:prstGeom prst="rect">
                      <a:avLst/>
                    </a:prstGeom>
                    <a:noFill/>
                    <a:ln>
                      <a:noFill/>
                    </a:ln>
                  </pic:spPr>
                </pic:pic>
              </a:graphicData>
            </a:graphic>
          </wp:inline>
        </w:drawing>
      </w:r>
    </w:p>
    <w:p w:rsidR="001007AF" w:rsidRDefault="001007AF" w:rsidP="00913A9B">
      <w:pPr>
        <w:tabs>
          <w:tab w:val="center" w:pos="5040"/>
          <w:tab w:val="right" w:pos="9900"/>
        </w:tabs>
      </w:pPr>
      <w:r>
        <w:t xml:space="preserve">                                                                     </w:t>
      </w:r>
    </w:p>
    <w:p w:rsidR="001007AF" w:rsidRPr="002C3834" w:rsidRDefault="00255438" w:rsidP="00676E82">
      <w:pPr>
        <w:jc w:val="center"/>
        <w:rPr>
          <w:rFonts w:ascii="Arial" w:hAnsi="Arial" w:cs="Arial"/>
          <w:b/>
          <w:sz w:val="28"/>
          <w:szCs w:val="28"/>
        </w:rPr>
      </w:pPr>
      <w:r w:rsidRPr="00255438">
        <w:rPr>
          <w:rFonts w:ascii="Arial" w:hAnsi="Arial" w:cs="Arial"/>
          <w:b/>
          <w:sz w:val="28"/>
          <w:szCs w:val="28"/>
        </w:rPr>
        <w:t>F</w:t>
      </w:r>
      <w:r>
        <w:rPr>
          <w:rFonts w:ascii="Arial" w:hAnsi="Arial" w:cs="Arial"/>
          <w:b/>
          <w:sz w:val="28"/>
          <w:szCs w:val="28"/>
        </w:rPr>
        <w:t>Y</w:t>
      </w:r>
      <w:r w:rsidRPr="00255438">
        <w:rPr>
          <w:rFonts w:ascii="Arial" w:hAnsi="Arial" w:cs="Arial"/>
          <w:b/>
          <w:sz w:val="28"/>
          <w:szCs w:val="28"/>
        </w:rPr>
        <w:t xml:space="preserve">2 Medicine for the Elderly </w:t>
      </w:r>
      <w:r w:rsidR="00DA5A98">
        <w:rPr>
          <w:rFonts w:ascii="Arial" w:hAnsi="Arial" w:cs="Arial"/>
          <w:b/>
          <w:sz w:val="28"/>
          <w:szCs w:val="28"/>
        </w:rPr>
        <w:t>/ General (Internal) Medicine</w:t>
      </w:r>
    </w:p>
    <w:p w:rsidR="001007AF" w:rsidRDefault="001007AF" w:rsidP="00676E82">
      <w:pPr>
        <w:rPr>
          <w:rFonts w:ascii="Arial" w:hAnsi="Arial" w:cs="Arial"/>
          <w:b/>
          <w:sz w:val="22"/>
          <w:szCs w:val="22"/>
        </w:rPr>
      </w:pPr>
    </w:p>
    <w:tbl>
      <w:tblPr>
        <w:tblW w:w="91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0"/>
        <w:gridCol w:w="6372"/>
      </w:tblGrid>
      <w:tr w:rsidR="001007AF" w:rsidRPr="004F4EE0" w:rsidTr="00814C29">
        <w:trPr>
          <w:trHeight w:val="144"/>
        </w:trPr>
        <w:tc>
          <w:tcPr>
            <w:tcW w:w="2770" w:type="dxa"/>
          </w:tcPr>
          <w:p w:rsidR="001007AF" w:rsidRPr="004F4EE0" w:rsidRDefault="001007AF" w:rsidP="00434404">
            <w:pPr>
              <w:jc w:val="both"/>
              <w:rPr>
                <w:rFonts w:ascii="Arial" w:hAnsi="Arial" w:cs="Arial"/>
                <w:b/>
              </w:rPr>
            </w:pPr>
            <w:r>
              <w:rPr>
                <w:rFonts w:ascii="Arial" w:hAnsi="Arial" w:cs="Arial"/>
                <w:b/>
                <w:sz w:val="22"/>
                <w:szCs w:val="22"/>
              </w:rPr>
              <w:t>Placement</w:t>
            </w:r>
          </w:p>
        </w:tc>
        <w:tc>
          <w:tcPr>
            <w:tcW w:w="6372" w:type="dxa"/>
          </w:tcPr>
          <w:p w:rsidR="001007AF" w:rsidRPr="0074005C" w:rsidRDefault="001007AF" w:rsidP="00434404">
            <w:pPr>
              <w:jc w:val="both"/>
              <w:rPr>
                <w:rFonts w:ascii="Arial" w:hAnsi="Arial" w:cs="Arial"/>
              </w:rPr>
            </w:pPr>
            <w:r w:rsidRPr="0074005C">
              <w:rPr>
                <w:rFonts w:ascii="Arial" w:hAnsi="Arial" w:cs="Arial"/>
              </w:rPr>
              <w:t xml:space="preserve">F2 </w:t>
            </w:r>
            <w:r w:rsidR="00B37410">
              <w:rPr>
                <w:rFonts w:ascii="Arial" w:hAnsi="Arial" w:cs="Arial"/>
              </w:rPr>
              <w:t>Medicine for the E</w:t>
            </w:r>
            <w:r w:rsidR="00B37410" w:rsidRPr="00B37410">
              <w:rPr>
                <w:rFonts w:ascii="Arial" w:hAnsi="Arial" w:cs="Arial"/>
              </w:rPr>
              <w:t xml:space="preserve">lderly </w:t>
            </w:r>
            <w:r w:rsidR="00DA5A98">
              <w:rPr>
                <w:rFonts w:ascii="Arial" w:hAnsi="Arial" w:cs="Arial"/>
              </w:rPr>
              <w:t>/ General (Internal) Medicine</w:t>
            </w:r>
          </w:p>
          <w:p w:rsidR="001007AF" w:rsidRPr="0074005C" w:rsidRDefault="001007AF" w:rsidP="00434404">
            <w:pPr>
              <w:jc w:val="both"/>
              <w:rPr>
                <w:rFonts w:ascii="Arial" w:hAnsi="Arial" w:cs="Arial"/>
              </w:rPr>
            </w:pPr>
          </w:p>
        </w:tc>
      </w:tr>
      <w:tr w:rsidR="001007AF" w:rsidRPr="004F4EE0" w:rsidTr="00814C29">
        <w:trPr>
          <w:trHeight w:val="3547"/>
        </w:trPr>
        <w:tc>
          <w:tcPr>
            <w:tcW w:w="2770" w:type="dxa"/>
          </w:tcPr>
          <w:p w:rsidR="001007AF" w:rsidRDefault="001007AF" w:rsidP="00434404">
            <w:pPr>
              <w:rPr>
                <w:rFonts w:ascii="Arial" w:hAnsi="Arial" w:cs="Arial"/>
                <w:b/>
              </w:rPr>
            </w:pPr>
            <w:r>
              <w:rPr>
                <w:rFonts w:ascii="Arial" w:hAnsi="Arial" w:cs="Arial"/>
                <w:b/>
                <w:sz w:val="22"/>
                <w:szCs w:val="22"/>
              </w:rPr>
              <w:t>The department</w:t>
            </w:r>
          </w:p>
        </w:tc>
        <w:tc>
          <w:tcPr>
            <w:tcW w:w="6372" w:type="dxa"/>
          </w:tcPr>
          <w:p w:rsidR="004008DB" w:rsidRPr="009A179D" w:rsidRDefault="001007AF" w:rsidP="00434404">
            <w:pPr>
              <w:rPr>
                <w:rFonts w:ascii="Arial" w:hAnsi="Arial" w:cs="Arial"/>
              </w:rPr>
            </w:pPr>
            <w:r w:rsidRPr="009A179D">
              <w:rPr>
                <w:rFonts w:ascii="Arial" w:hAnsi="Arial" w:cs="Arial"/>
              </w:rPr>
              <w:t xml:space="preserve">The department compromises 4 </w:t>
            </w:r>
            <w:r w:rsidR="003612B4" w:rsidRPr="009A179D">
              <w:rPr>
                <w:rFonts w:ascii="Arial" w:hAnsi="Arial" w:cs="Arial"/>
              </w:rPr>
              <w:t>Medicine for the</w:t>
            </w:r>
            <w:r w:rsidRPr="009A179D">
              <w:rPr>
                <w:rFonts w:ascii="Arial" w:hAnsi="Arial" w:cs="Arial"/>
              </w:rPr>
              <w:t xml:space="preserve"> elderly consultants</w:t>
            </w:r>
            <w:r w:rsidR="00DA5A98">
              <w:rPr>
                <w:rFonts w:ascii="Arial" w:hAnsi="Arial" w:cs="Arial"/>
              </w:rPr>
              <w:t xml:space="preserve"> (with 2 new appointments starting 2016)</w:t>
            </w:r>
            <w:bookmarkStart w:id="0" w:name="_GoBack"/>
            <w:bookmarkEnd w:id="0"/>
            <w:r w:rsidRPr="009A179D">
              <w:rPr>
                <w:rFonts w:ascii="Arial" w:hAnsi="Arial" w:cs="Arial"/>
              </w:rPr>
              <w:t xml:space="preserve"> all of whom are involved in acute medicine on-calls. Two of the consultants have specialist interests in stroke medicine of patients tr</w:t>
            </w:r>
            <w:r w:rsidR="0074005C" w:rsidRPr="009A179D">
              <w:rPr>
                <w:rFonts w:ascii="Arial" w:hAnsi="Arial" w:cs="Arial"/>
              </w:rPr>
              <w:t>ansferred back from hyper</w:t>
            </w:r>
            <w:r w:rsidR="00D672DB" w:rsidRPr="009A179D">
              <w:rPr>
                <w:rFonts w:ascii="Arial" w:hAnsi="Arial" w:cs="Arial"/>
              </w:rPr>
              <w:t xml:space="preserve"> </w:t>
            </w:r>
            <w:r w:rsidR="0074005C" w:rsidRPr="009A179D">
              <w:rPr>
                <w:rFonts w:ascii="Arial" w:hAnsi="Arial" w:cs="Arial"/>
              </w:rPr>
              <w:t>acut</w:t>
            </w:r>
            <w:r w:rsidRPr="009A179D">
              <w:rPr>
                <w:rFonts w:ascii="Arial" w:hAnsi="Arial" w:cs="Arial"/>
              </w:rPr>
              <w:t>e stroke units.</w:t>
            </w:r>
            <w:r w:rsidR="003D5DC9">
              <w:rPr>
                <w:rFonts w:ascii="Arial" w:hAnsi="Arial" w:cs="Arial"/>
              </w:rPr>
              <w:t xml:space="preserve"> Two have interest in Liaison care of surgical patients. </w:t>
            </w:r>
          </w:p>
          <w:p w:rsidR="001007AF" w:rsidRPr="009A179D" w:rsidRDefault="001007AF" w:rsidP="00434404">
            <w:pPr>
              <w:rPr>
                <w:rFonts w:ascii="Arial" w:hAnsi="Arial" w:cs="Arial"/>
              </w:rPr>
            </w:pPr>
            <w:r w:rsidRPr="009A179D">
              <w:rPr>
                <w:rFonts w:ascii="Arial" w:hAnsi="Arial" w:cs="Arial"/>
              </w:rPr>
              <w:t xml:space="preserve"> </w:t>
            </w:r>
          </w:p>
          <w:p w:rsidR="001007AF" w:rsidRPr="009A179D" w:rsidRDefault="001007AF" w:rsidP="004008DB">
            <w:pPr>
              <w:rPr>
                <w:rFonts w:ascii="Arial" w:hAnsi="Arial" w:cs="Arial"/>
              </w:rPr>
            </w:pPr>
            <w:r w:rsidRPr="009A179D">
              <w:rPr>
                <w:rFonts w:ascii="Arial" w:hAnsi="Arial" w:cs="Arial"/>
              </w:rPr>
              <w:t>All consultants cover General Medicine so there is a varie</w:t>
            </w:r>
            <w:r w:rsidR="00657445" w:rsidRPr="009A179D">
              <w:rPr>
                <w:rFonts w:ascii="Arial" w:hAnsi="Arial" w:cs="Arial"/>
              </w:rPr>
              <w:t>ty of disease spectrum, there are</w:t>
            </w:r>
            <w:r w:rsidRPr="009A179D">
              <w:rPr>
                <w:rFonts w:ascii="Arial" w:hAnsi="Arial" w:cs="Arial"/>
              </w:rPr>
              <w:t xml:space="preserve"> no strict rules on the age of patients admitted under these teams. </w:t>
            </w:r>
            <w:r w:rsidR="004008DB" w:rsidRPr="009A179D">
              <w:rPr>
                <w:rFonts w:ascii="Arial" w:hAnsi="Arial" w:cs="Arial"/>
              </w:rPr>
              <w:t>Two consultants Dr Kroker</w:t>
            </w:r>
            <w:r w:rsidR="003D5DC9">
              <w:rPr>
                <w:rFonts w:ascii="Arial" w:hAnsi="Arial" w:cs="Arial"/>
              </w:rPr>
              <w:t xml:space="preserve"> &amp; </w:t>
            </w:r>
            <w:r w:rsidR="004008DB" w:rsidRPr="009A179D">
              <w:rPr>
                <w:rFonts w:ascii="Arial" w:hAnsi="Arial" w:cs="Arial"/>
              </w:rPr>
              <w:t xml:space="preserve">Dr Bovill </w:t>
            </w:r>
            <w:r w:rsidRPr="009A179D">
              <w:rPr>
                <w:rFonts w:ascii="Arial" w:hAnsi="Arial" w:cs="Arial"/>
              </w:rPr>
              <w:t xml:space="preserve">work </w:t>
            </w:r>
            <w:r w:rsidR="003D5DC9" w:rsidRPr="009A179D">
              <w:rPr>
                <w:rFonts w:ascii="Arial" w:hAnsi="Arial" w:cs="Arial"/>
              </w:rPr>
              <w:t>as sub team managing general medicine patients</w:t>
            </w:r>
            <w:r w:rsidR="00590377" w:rsidRPr="009A179D">
              <w:rPr>
                <w:rFonts w:ascii="Arial" w:hAnsi="Arial" w:cs="Arial"/>
              </w:rPr>
              <w:t>.</w:t>
            </w:r>
            <w:r w:rsidR="005D7304" w:rsidRPr="009A179D">
              <w:rPr>
                <w:rFonts w:ascii="Arial" w:hAnsi="Arial" w:cs="Arial"/>
              </w:rPr>
              <w:t xml:space="preserve"> T</w:t>
            </w:r>
            <w:r w:rsidRPr="009A179D">
              <w:rPr>
                <w:rFonts w:ascii="Arial" w:hAnsi="Arial" w:cs="Arial"/>
              </w:rPr>
              <w:t>he other two</w:t>
            </w:r>
            <w:r w:rsidR="005D7304" w:rsidRPr="009A179D">
              <w:rPr>
                <w:rFonts w:ascii="Arial" w:hAnsi="Arial" w:cs="Arial"/>
              </w:rPr>
              <w:t xml:space="preserve"> consultants</w:t>
            </w:r>
            <w:r w:rsidRPr="009A179D">
              <w:rPr>
                <w:rFonts w:ascii="Arial" w:hAnsi="Arial" w:cs="Arial"/>
              </w:rPr>
              <w:t xml:space="preserve"> </w:t>
            </w:r>
            <w:r w:rsidR="003D5DC9">
              <w:rPr>
                <w:rFonts w:ascii="Arial" w:hAnsi="Arial" w:cs="Arial"/>
              </w:rPr>
              <w:t xml:space="preserve">are </w:t>
            </w:r>
            <w:r w:rsidR="004008DB" w:rsidRPr="009A179D">
              <w:rPr>
                <w:rFonts w:ascii="Arial" w:hAnsi="Arial" w:cs="Arial"/>
              </w:rPr>
              <w:t>Dr Morgan</w:t>
            </w:r>
            <w:r w:rsidR="003D5DC9">
              <w:rPr>
                <w:rFonts w:ascii="Arial" w:hAnsi="Arial" w:cs="Arial"/>
              </w:rPr>
              <w:t xml:space="preserve"> &amp; </w:t>
            </w:r>
            <w:r w:rsidR="004008DB" w:rsidRPr="009A179D">
              <w:rPr>
                <w:rFonts w:ascii="Arial" w:hAnsi="Arial" w:cs="Arial"/>
              </w:rPr>
              <w:t xml:space="preserve">Dr Pelly </w:t>
            </w:r>
            <w:r w:rsidR="003D5DC9">
              <w:rPr>
                <w:rFonts w:ascii="Arial" w:hAnsi="Arial" w:cs="Arial"/>
              </w:rPr>
              <w:t>general medicine and stroke</w:t>
            </w:r>
            <w:r w:rsidRPr="009A179D">
              <w:rPr>
                <w:rFonts w:ascii="Arial" w:hAnsi="Arial" w:cs="Arial"/>
              </w:rPr>
              <w:t xml:space="preserve">. </w:t>
            </w:r>
            <w:r w:rsidR="003D5DC9">
              <w:rPr>
                <w:rFonts w:ascii="Arial" w:hAnsi="Arial" w:cs="Arial"/>
              </w:rPr>
              <w:t xml:space="preserve">Each </w:t>
            </w:r>
            <w:r w:rsidRPr="009A179D">
              <w:rPr>
                <w:rFonts w:ascii="Arial" w:hAnsi="Arial" w:cs="Arial"/>
              </w:rPr>
              <w:t>team within the department look after different patients, run separate clinics and ward rounds.</w:t>
            </w:r>
          </w:p>
          <w:p w:rsidR="0074005C" w:rsidRPr="009A179D" w:rsidRDefault="0074005C" w:rsidP="004008DB">
            <w:pPr>
              <w:rPr>
                <w:rFonts w:ascii="Arial" w:hAnsi="Arial" w:cs="Arial"/>
              </w:rPr>
            </w:pPr>
          </w:p>
        </w:tc>
      </w:tr>
      <w:tr w:rsidR="001007AF" w:rsidRPr="004F4EE0" w:rsidTr="00814C29">
        <w:trPr>
          <w:trHeight w:val="144"/>
        </w:trPr>
        <w:tc>
          <w:tcPr>
            <w:tcW w:w="2770" w:type="dxa"/>
          </w:tcPr>
          <w:p w:rsidR="001007AF" w:rsidRPr="004F4EE0" w:rsidRDefault="001007AF" w:rsidP="00330007">
            <w:pPr>
              <w:jc w:val="both"/>
              <w:rPr>
                <w:rFonts w:ascii="Arial" w:hAnsi="Arial" w:cs="Arial"/>
                <w:b/>
              </w:rPr>
            </w:pPr>
            <w:r>
              <w:rPr>
                <w:rFonts w:ascii="Arial" w:hAnsi="Arial" w:cs="Arial"/>
                <w:b/>
                <w:sz w:val="22"/>
                <w:szCs w:val="22"/>
              </w:rPr>
              <w:t>Trust &amp; Site</w:t>
            </w:r>
          </w:p>
        </w:tc>
        <w:tc>
          <w:tcPr>
            <w:tcW w:w="6372" w:type="dxa"/>
          </w:tcPr>
          <w:p w:rsidR="001007AF" w:rsidRPr="009A179D" w:rsidRDefault="001007AF" w:rsidP="00657445">
            <w:pPr>
              <w:rPr>
                <w:rFonts w:ascii="Arial" w:hAnsi="Arial" w:cs="Arial"/>
              </w:rPr>
            </w:pPr>
            <w:r w:rsidRPr="009A179D">
              <w:rPr>
                <w:rFonts w:ascii="Arial" w:hAnsi="Arial" w:cs="Arial"/>
              </w:rPr>
              <w:t>Chelsea and Westminster Hospital, Nell Gwynne War</w:t>
            </w:r>
            <w:r w:rsidR="003D5DC9">
              <w:rPr>
                <w:rFonts w:ascii="Arial" w:hAnsi="Arial" w:cs="Arial"/>
              </w:rPr>
              <w:t xml:space="preserve">d (stroke and general medicine), David Erskine ward (General, respiratory and MFE); Edgar Horne ward (General, Diabetes &amp; MFE/Dementia care). </w:t>
            </w:r>
          </w:p>
          <w:p w:rsidR="0074005C" w:rsidRPr="009A179D" w:rsidRDefault="0074005C" w:rsidP="009D2700">
            <w:pPr>
              <w:jc w:val="both"/>
              <w:rPr>
                <w:rFonts w:ascii="Arial" w:hAnsi="Arial" w:cs="Arial"/>
              </w:rPr>
            </w:pPr>
          </w:p>
        </w:tc>
      </w:tr>
      <w:tr w:rsidR="001007AF" w:rsidRPr="004F4EE0" w:rsidTr="00814C29">
        <w:trPr>
          <w:trHeight w:val="144"/>
        </w:trPr>
        <w:tc>
          <w:tcPr>
            <w:tcW w:w="2770" w:type="dxa"/>
          </w:tcPr>
          <w:p w:rsidR="001007AF" w:rsidRPr="00047073" w:rsidRDefault="001007AF" w:rsidP="00434404">
            <w:pPr>
              <w:rPr>
                <w:rFonts w:ascii="Arial" w:hAnsi="Arial" w:cs="Arial"/>
                <w:b/>
              </w:rPr>
            </w:pPr>
            <w:r>
              <w:rPr>
                <w:rFonts w:ascii="Arial" w:hAnsi="Arial" w:cs="Arial"/>
                <w:b/>
                <w:sz w:val="22"/>
                <w:szCs w:val="22"/>
              </w:rPr>
              <w:t>The type of work to expect and learning opportunities</w:t>
            </w:r>
          </w:p>
        </w:tc>
        <w:tc>
          <w:tcPr>
            <w:tcW w:w="6372" w:type="dxa"/>
          </w:tcPr>
          <w:p w:rsidR="007C349E" w:rsidRDefault="007C349E" w:rsidP="004008DB">
            <w:pPr>
              <w:rPr>
                <w:rFonts w:ascii="Arial" w:hAnsi="Arial" w:cs="Arial"/>
              </w:rPr>
            </w:pPr>
            <w:r>
              <w:rPr>
                <w:rFonts w:ascii="Arial" w:hAnsi="Arial" w:cs="Arial"/>
              </w:rPr>
              <w:t xml:space="preserve">The F2 doctor </w:t>
            </w:r>
            <w:r w:rsidR="001007AF" w:rsidRPr="0074005C">
              <w:rPr>
                <w:rFonts w:ascii="Arial" w:hAnsi="Arial" w:cs="Arial"/>
              </w:rPr>
              <w:t xml:space="preserve">will be primarily ward based during the normal working day under the relevant teams. There will be plenty of opportunities to lead ward rounds during the week, along with registrar and consultant teaching ward rounds. </w:t>
            </w:r>
            <w:r w:rsidR="003D5DC9">
              <w:rPr>
                <w:rFonts w:ascii="Arial" w:hAnsi="Arial" w:cs="Arial"/>
              </w:rPr>
              <w:t>I</w:t>
            </w:r>
            <w:r w:rsidR="001007AF" w:rsidRPr="0074005C">
              <w:rPr>
                <w:rFonts w:ascii="Arial" w:hAnsi="Arial" w:cs="Arial"/>
              </w:rPr>
              <w:t xml:space="preserve">t is encouraged for F2 doctors to </w:t>
            </w:r>
            <w:r w:rsidR="003D5DC9">
              <w:rPr>
                <w:rFonts w:ascii="Arial" w:hAnsi="Arial" w:cs="Arial"/>
              </w:rPr>
              <w:t xml:space="preserve">attend </w:t>
            </w:r>
            <w:r w:rsidR="001007AF" w:rsidRPr="0074005C">
              <w:rPr>
                <w:rFonts w:ascii="Arial" w:hAnsi="Arial" w:cs="Arial"/>
              </w:rPr>
              <w:t>clinics, which range from general medicine to specialist clinics</w:t>
            </w:r>
            <w:r w:rsidR="003D5DC9">
              <w:rPr>
                <w:rFonts w:ascii="Arial" w:hAnsi="Arial" w:cs="Arial"/>
              </w:rPr>
              <w:t xml:space="preserve">. </w:t>
            </w:r>
          </w:p>
          <w:p w:rsidR="007C349E" w:rsidRDefault="001007AF" w:rsidP="004008DB">
            <w:pPr>
              <w:rPr>
                <w:rFonts w:ascii="Arial" w:hAnsi="Arial" w:cs="Arial"/>
              </w:rPr>
            </w:pPr>
            <w:r w:rsidRPr="0074005C">
              <w:rPr>
                <w:rFonts w:ascii="Arial" w:hAnsi="Arial" w:cs="Arial"/>
              </w:rPr>
              <w:t xml:space="preserve">This is a great opportunity to improve focused history-taking/examination skills, and </w:t>
            </w:r>
            <w:r w:rsidR="001D7A29">
              <w:rPr>
                <w:rFonts w:ascii="Arial" w:hAnsi="Arial" w:cs="Arial"/>
              </w:rPr>
              <w:t>arranging investigations</w:t>
            </w:r>
            <w:r w:rsidRPr="0074005C">
              <w:rPr>
                <w:rFonts w:ascii="Arial" w:hAnsi="Arial" w:cs="Arial"/>
              </w:rPr>
              <w:t>/</w:t>
            </w:r>
            <w:r w:rsidR="007C349E">
              <w:rPr>
                <w:rFonts w:ascii="Arial" w:hAnsi="Arial" w:cs="Arial"/>
              </w:rPr>
              <w:t xml:space="preserve"> </w:t>
            </w:r>
            <w:r w:rsidRPr="0074005C">
              <w:rPr>
                <w:rFonts w:ascii="Arial" w:hAnsi="Arial" w:cs="Arial"/>
              </w:rPr>
              <w:t>management pl</w:t>
            </w:r>
            <w:r w:rsidR="001D7A29">
              <w:rPr>
                <w:rFonts w:ascii="Arial" w:hAnsi="Arial" w:cs="Arial"/>
              </w:rPr>
              <w:t>ans</w:t>
            </w:r>
            <w:r w:rsidRPr="0074005C">
              <w:rPr>
                <w:rFonts w:ascii="Arial" w:hAnsi="Arial" w:cs="Arial"/>
              </w:rPr>
              <w:t xml:space="preserve">. The clinics are well supervised and supported. </w:t>
            </w:r>
          </w:p>
          <w:p w:rsidR="007C349E" w:rsidRDefault="007C349E" w:rsidP="004008DB">
            <w:pPr>
              <w:rPr>
                <w:rFonts w:ascii="Arial" w:hAnsi="Arial" w:cs="Arial"/>
              </w:rPr>
            </w:pPr>
          </w:p>
          <w:p w:rsidR="004008DB" w:rsidRDefault="001007AF" w:rsidP="004008DB">
            <w:pPr>
              <w:rPr>
                <w:rFonts w:ascii="Arial" w:hAnsi="Arial" w:cs="Arial"/>
              </w:rPr>
            </w:pPr>
            <w:r w:rsidRPr="0074005C">
              <w:rPr>
                <w:rFonts w:ascii="Arial" w:hAnsi="Arial" w:cs="Arial"/>
              </w:rPr>
              <w:t>All teams have one MDT meeting per week, where decisions will be made with the whole MDT team about the patients’ safe discharge and ongoing progress on the ward. Both F1 and F2 doctors will be expected to participate in discharge discussions and planning along with MDT.</w:t>
            </w:r>
          </w:p>
          <w:p w:rsidR="007C349E" w:rsidRPr="0074005C" w:rsidRDefault="007C349E" w:rsidP="004008DB">
            <w:pPr>
              <w:rPr>
                <w:rFonts w:ascii="Arial" w:hAnsi="Arial" w:cs="Arial"/>
              </w:rPr>
            </w:pPr>
          </w:p>
          <w:p w:rsidR="001007AF" w:rsidRDefault="001007AF" w:rsidP="003D5DC9">
            <w:pPr>
              <w:rPr>
                <w:rFonts w:ascii="Arial" w:hAnsi="Arial" w:cs="Arial"/>
              </w:rPr>
            </w:pPr>
            <w:r w:rsidRPr="0074005C">
              <w:rPr>
                <w:rFonts w:ascii="Arial" w:hAnsi="Arial" w:cs="Arial"/>
              </w:rPr>
              <w:t>A</w:t>
            </w:r>
            <w:r w:rsidR="004008DB" w:rsidRPr="0074005C">
              <w:rPr>
                <w:rFonts w:ascii="Arial" w:hAnsi="Arial" w:cs="Arial"/>
              </w:rPr>
              <w:t>ll F2 doctors on this job will have on calls on AAU (either Mon-Thurs or Fri-Sun) usually 1 in 4 weeks</w:t>
            </w:r>
            <w:r w:rsidRPr="0074005C">
              <w:rPr>
                <w:rFonts w:ascii="Arial" w:hAnsi="Arial" w:cs="Arial"/>
              </w:rPr>
              <w:t xml:space="preserve">. Whilst in the AAU attachment the F2 will be involved with generic clerking of patients being </w:t>
            </w:r>
            <w:r w:rsidR="003D5DC9">
              <w:rPr>
                <w:rFonts w:ascii="Arial" w:hAnsi="Arial" w:cs="Arial"/>
              </w:rPr>
              <w:t>assessed.</w:t>
            </w:r>
            <w:r w:rsidRPr="0074005C">
              <w:rPr>
                <w:rFonts w:ascii="Arial" w:hAnsi="Arial" w:cs="Arial"/>
              </w:rPr>
              <w:t xml:space="preserve"> </w:t>
            </w:r>
          </w:p>
          <w:p w:rsidR="001D7A29" w:rsidRPr="0074005C" w:rsidRDefault="001D7A29" w:rsidP="003D5DC9">
            <w:pPr>
              <w:rPr>
                <w:rFonts w:ascii="Arial" w:hAnsi="Arial" w:cs="Arial"/>
              </w:rPr>
            </w:pPr>
          </w:p>
        </w:tc>
      </w:tr>
      <w:tr w:rsidR="001007AF" w:rsidRPr="004F4EE0" w:rsidTr="00814C29">
        <w:trPr>
          <w:trHeight w:val="144"/>
        </w:trPr>
        <w:tc>
          <w:tcPr>
            <w:tcW w:w="2770" w:type="dxa"/>
          </w:tcPr>
          <w:p w:rsidR="001007AF" w:rsidRDefault="001007AF" w:rsidP="00434404">
            <w:pPr>
              <w:jc w:val="both"/>
              <w:rPr>
                <w:rFonts w:ascii="Arial" w:hAnsi="Arial" w:cs="Arial"/>
                <w:b/>
              </w:rPr>
            </w:pPr>
            <w:r>
              <w:rPr>
                <w:rFonts w:ascii="Arial" w:hAnsi="Arial" w:cs="Arial"/>
                <w:b/>
                <w:sz w:val="22"/>
                <w:szCs w:val="22"/>
              </w:rPr>
              <w:lastRenderedPageBreak/>
              <w:t>Clinical Supervisor(s) for the placement</w:t>
            </w:r>
          </w:p>
        </w:tc>
        <w:tc>
          <w:tcPr>
            <w:tcW w:w="6372" w:type="dxa"/>
          </w:tcPr>
          <w:p w:rsidR="001007AF" w:rsidRPr="0074005C" w:rsidRDefault="00657445" w:rsidP="00657445">
            <w:pPr>
              <w:rPr>
                <w:rFonts w:ascii="Arial" w:hAnsi="Arial" w:cs="Arial"/>
              </w:rPr>
            </w:pPr>
            <w:r>
              <w:rPr>
                <w:rFonts w:ascii="Arial" w:hAnsi="Arial" w:cs="Arial"/>
              </w:rPr>
              <w:t xml:space="preserve">Dr. Morgan, </w:t>
            </w:r>
            <w:proofErr w:type="spellStart"/>
            <w:r>
              <w:rPr>
                <w:rFonts w:ascii="Arial" w:hAnsi="Arial" w:cs="Arial"/>
              </w:rPr>
              <w:t>Dr.Pelly</w:t>
            </w:r>
            <w:proofErr w:type="spellEnd"/>
            <w:r>
              <w:rPr>
                <w:rFonts w:ascii="Arial" w:hAnsi="Arial" w:cs="Arial"/>
              </w:rPr>
              <w:t xml:space="preserve">, </w:t>
            </w:r>
            <w:proofErr w:type="spellStart"/>
            <w:r>
              <w:rPr>
                <w:rFonts w:ascii="Arial" w:hAnsi="Arial" w:cs="Arial"/>
              </w:rPr>
              <w:t>Dr.Kroker</w:t>
            </w:r>
            <w:proofErr w:type="spellEnd"/>
            <w:r>
              <w:rPr>
                <w:rFonts w:ascii="Arial" w:hAnsi="Arial" w:cs="Arial"/>
              </w:rPr>
              <w:t xml:space="preserve">, </w:t>
            </w:r>
            <w:proofErr w:type="spellStart"/>
            <w:r>
              <w:rPr>
                <w:rFonts w:ascii="Arial" w:hAnsi="Arial" w:cs="Arial"/>
              </w:rPr>
              <w:t>Dr.</w:t>
            </w:r>
            <w:r w:rsidR="001007AF" w:rsidRPr="0074005C">
              <w:rPr>
                <w:rFonts w:ascii="Arial" w:hAnsi="Arial" w:cs="Arial"/>
              </w:rPr>
              <w:t>Bovill</w:t>
            </w:r>
            <w:proofErr w:type="spellEnd"/>
          </w:p>
          <w:p w:rsidR="001007AF" w:rsidRPr="0074005C" w:rsidRDefault="001007AF" w:rsidP="00434404">
            <w:pPr>
              <w:jc w:val="both"/>
              <w:rPr>
                <w:rFonts w:ascii="Arial" w:hAnsi="Arial" w:cs="Arial"/>
              </w:rPr>
            </w:pPr>
          </w:p>
        </w:tc>
      </w:tr>
      <w:tr w:rsidR="001007AF" w:rsidRPr="004F4EE0" w:rsidTr="00814C29">
        <w:trPr>
          <w:trHeight w:val="144"/>
        </w:trPr>
        <w:tc>
          <w:tcPr>
            <w:tcW w:w="2770" w:type="dxa"/>
          </w:tcPr>
          <w:p w:rsidR="001007AF" w:rsidRDefault="001007AF" w:rsidP="00434404">
            <w:pPr>
              <w:rPr>
                <w:rFonts w:ascii="Arial" w:hAnsi="Arial" w:cs="Arial"/>
                <w:b/>
              </w:rPr>
            </w:pPr>
            <w:r>
              <w:rPr>
                <w:rFonts w:ascii="Arial" w:hAnsi="Arial" w:cs="Arial"/>
                <w:b/>
                <w:sz w:val="22"/>
                <w:szCs w:val="22"/>
              </w:rPr>
              <w:t>Main duties of the placement</w:t>
            </w:r>
          </w:p>
        </w:tc>
        <w:tc>
          <w:tcPr>
            <w:tcW w:w="6372" w:type="dxa"/>
          </w:tcPr>
          <w:p w:rsidR="007C349E" w:rsidRDefault="001007AF" w:rsidP="004008DB">
            <w:pPr>
              <w:pStyle w:val="NoSpacing"/>
              <w:rPr>
                <w:rFonts w:ascii="Arial" w:hAnsi="Arial" w:cs="Arial"/>
              </w:rPr>
            </w:pPr>
            <w:r w:rsidRPr="0074005C">
              <w:rPr>
                <w:rFonts w:ascii="Arial" w:hAnsi="Arial" w:cs="Arial"/>
              </w:rPr>
              <w:t>The F2 doctor is responsible with the team for the ward care of patients and the maintenance of the patient’s medical records. They will have the opportunity to work with the consultants in outpatients clinic</w:t>
            </w:r>
            <w:r w:rsidR="004008DB" w:rsidRPr="0074005C">
              <w:rPr>
                <w:rFonts w:ascii="Arial" w:hAnsi="Arial" w:cs="Arial"/>
              </w:rPr>
              <w:t>s</w:t>
            </w:r>
            <w:r w:rsidRPr="0074005C">
              <w:rPr>
                <w:rFonts w:ascii="Arial" w:hAnsi="Arial" w:cs="Arial"/>
              </w:rPr>
              <w:t xml:space="preserve">, and also take responsibility for problems arising on the </w:t>
            </w:r>
            <w:r w:rsidR="002E7A26" w:rsidRPr="0074005C">
              <w:rPr>
                <w:rFonts w:ascii="Arial" w:hAnsi="Arial" w:cs="Arial"/>
              </w:rPr>
              <w:t>ward;</w:t>
            </w:r>
            <w:r w:rsidRPr="0074005C">
              <w:rPr>
                <w:rFonts w:ascii="Arial" w:hAnsi="Arial" w:cs="Arial"/>
              </w:rPr>
              <w:t xml:space="preserve"> both medical related and discharge related issues. </w:t>
            </w:r>
          </w:p>
          <w:p w:rsidR="007C349E" w:rsidRDefault="007C349E" w:rsidP="004008DB">
            <w:pPr>
              <w:pStyle w:val="NoSpacing"/>
              <w:rPr>
                <w:rFonts w:ascii="Arial" w:hAnsi="Arial" w:cs="Arial"/>
              </w:rPr>
            </w:pPr>
          </w:p>
          <w:p w:rsidR="007C349E" w:rsidRDefault="001007AF" w:rsidP="004008DB">
            <w:pPr>
              <w:pStyle w:val="NoSpacing"/>
              <w:rPr>
                <w:rFonts w:ascii="Arial" w:hAnsi="Arial" w:cs="Arial"/>
              </w:rPr>
            </w:pPr>
            <w:r w:rsidRPr="0074005C">
              <w:rPr>
                <w:rFonts w:ascii="Arial" w:hAnsi="Arial" w:cs="Arial"/>
              </w:rPr>
              <w:t>They are expected to attend th</w:t>
            </w:r>
            <w:r w:rsidR="0024084C" w:rsidRPr="0074005C">
              <w:rPr>
                <w:rFonts w:ascii="Arial" w:hAnsi="Arial" w:cs="Arial"/>
              </w:rPr>
              <w:t>e structured teaching programme</w:t>
            </w:r>
            <w:r w:rsidRPr="0074005C">
              <w:rPr>
                <w:rFonts w:ascii="Arial" w:hAnsi="Arial" w:cs="Arial"/>
              </w:rPr>
              <w:t xml:space="preserve"> provided by the department.</w:t>
            </w:r>
            <w:r w:rsidR="004008DB" w:rsidRPr="0074005C">
              <w:rPr>
                <w:rFonts w:ascii="Arial" w:hAnsi="Arial" w:cs="Arial"/>
              </w:rPr>
              <w:t xml:space="preserve"> </w:t>
            </w:r>
            <w:r w:rsidR="001D7A29">
              <w:rPr>
                <w:rFonts w:ascii="Arial" w:hAnsi="Arial" w:cs="Arial"/>
              </w:rPr>
              <w:t>Tuesday</w:t>
            </w:r>
            <w:r w:rsidR="004008DB" w:rsidRPr="0074005C">
              <w:rPr>
                <w:rFonts w:ascii="Arial" w:hAnsi="Arial" w:cs="Arial"/>
              </w:rPr>
              <w:t xml:space="preserve"> lunch time teaching; also get the opportunity to present</w:t>
            </w:r>
            <w:r w:rsidR="001D7A29">
              <w:rPr>
                <w:rFonts w:ascii="Arial" w:hAnsi="Arial" w:cs="Arial"/>
              </w:rPr>
              <w:t xml:space="preserve"> cases</w:t>
            </w:r>
            <w:r w:rsidR="004008DB" w:rsidRPr="0074005C">
              <w:rPr>
                <w:rFonts w:ascii="Arial" w:hAnsi="Arial" w:cs="Arial"/>
              </w:rPr>
              <w:t>.</w:t>
            </w:r>
            <w:r w:rsidRPr="0074005C">
              <w:rPr>
                <w:rFonts w:ascii="Arial" w:hAnsi="Arial" w:cs="Arial"/>
              </w:rPr>
              <w:t xml:space="preserve"> It is recommended an audit is carried out within the department</w:t>
            </w:r>
            <w:r w:rsidR="001D7A29">
              <w:rPr>
                <w:rFonts w:ascii="Arial" w:hAnsi="Arial" w:cs="Arial"/>
              </w:rPr>
              <w:t xml:space="preserve"> during the attachment.</w:t>
            </w:r>
            <w:r w:rsidRPr="0074005C">
              <w:rPr>
                <w:rFonts w:ascii="Arial" w:hAnsi="Arial" w:cs="Arial"/>
              </w:rPr>
              <w:t xml:space="preserve"> </w:t>
            </w:r>
          </w:p>
          <w:p w:rsidR="007C349E" w:rsidRDefault="007C349E" w:rsidP="004008DB">
            <w:pPr>
              <w:pStyle w:val="NoSpacing"/>
              <w:rPr>
                <w:rFonts w:ascii="Arial" w:hAnsi="Arial" w:cs="Arial"/>
              </w:rPr>
            </w:pPr>
          </w:p>
          <w:p w:rsidR="001007AF" w:rsidRPr="0074005C" w:rsidRDefault="001007AF" w:rsidP="004008DB">
            <w:pPr>
              <w:pStyle w:val="NoSpacing"/>
              <w:rPr>
                <w:rFonts w:ascii="Arial" w:hAnsi="Arial" w:cs="Arial"/>
              </w:rPr>
            </w:pPr>
          </w:p>
          <w:p w:rsidR="0074005C" w:rsidRPr="0074005C" w:rsidRDefault="0074005C" w:rsidP="004008DB">
            <w:pPr>
              <w:pStyle w:val="NoSpacing"/>
              <w:rPr>
                <w:rFonts w:ascii="Arial" w:hAnsi="Arial" w:cs="Arial"/>
              </w:rPr>
            </w:pPr>
          </w:p>
        </w:tc>
      </w:tr>
      <w:tr w:rsidR="001007AF" w:rsidRPr="004F4EE0" w:rsidTr="00814C29">
        <w:trPr>
          <w:trHeight w:val="144"/>
        </w:trPr>
        <w:tc>
          <w:tcPr>
            <w:tcW w:w="2770" w:type="dxa"/>
          </w:tcPr>
          <w:p w:rsidR="001007AF" w:rsidRDefault="001007AF" w:rsidP="00434404">
            <w:pPr>
              <w:jc w:val="both"/>
              <w:rPr>
                <w:rFonts w:ascii="Arial" w:hAnsi="Arial" w:cs="Arial"/>
                <w:b/>
              </w:rPr>
            </w:pPr>
            <w:r>
              <w:rPr>
                <w:rFonts w:ascii="Arial" w:hAnsi="Arial" w:cs="Arial"/>
                <w:b/>
                <w:sz w:val="22"/>
                <w:szCs w:val="22"/>
              </w:rPr>
              <w:t>Typical working pattern in this placement</w:t>
            </w:r>
          </w:p>
        </w:tc>
        <w:tc>
          <w:tcPr>
            <w:tcW w:w="6372" w:type="dxa"/>
          </w:tcPr>
          <w:p w:rsidR="001007AF" w:rsidRPr="0074005C" w:rsidRDefault="001007AF" w:rsidP="00434404">
            <w:pPr>
              <w:rPr>
                <w:rFonts w:ascii="Arial" w:hAnsi="Arial" w:cs="Arial"/>
              </w:rPr>
            </w:pPr>
            <w:r w:rsidRPr="0074005C">
              <w:rPr>
                <w:rFonts w:ascii="Arial" w:hAnsi="Arial" w:cs="Arial"/>
              </w:rPr>
              <w:t xml:space="preserve">Typical working pattern in this post  </w:t>
            </w:r>
          </w:p>
          <w:p w:rsidR="001007AF" w:rsidRPr="0074005C" w:rsidRDefault="001007AF" w:rsidP="00434404">
            <w:pPr>
              <w:rPr>
                <w:rFonts w:ascii="Arial" w:hAnsi="Arial" w:cs="Arial"/>
              </w:rPr>
            </w:pPr>
          </w:p>
          <w:p w:rsidR="001007AF" w:rsidRPr="0074005C" w:rsidRDefault="001007AF" w:rsidP="00434404">
            <w:pPr>
              <w:rPr>
                <w:rFonts w:ascii="Arial" w:hAnsi="Arial" w:cs="Arial"/>
              </w:rPr>
            </w:pPr>
            <w:r w:rsidRPr="0074005C">
              <w:rPr>
                <w:rFonts w:ascii="Arial" w:hAnsi="Arial" w:cs="Arial"/>
              </w:rPr>
              <w:t>Daily Ward Rounds – after handover at 9am. Split between Reg</w:t>
            </w:r>
            <w:r w:rsidR="001B3136">
              <w:rPr>
                <w:rFonts w:ascii="Arial" w:hAnsi="Arial" w:cs="Arial"/>
              </w:rPr>
              <w:t>istrar</w:t>
            </w:r>
            <w:r w:rsidRPr="0074005C">
              <w:rPr>
                <w:rFonts w:ascii="Arial" w:hAnsi="Arial" w:cs="Arial"/>
              </w:rPr>
              <w:t>/SHO/F1 depending on staff availability. At least one consultant ward round per week.</w:t>
            </w:r>
          </w:p>
          <w:p w:rsidR="001007AF" w:rsidRDefault="001007AF" w:rsidP="00434404">
            <w:pPr>
              <w:rPr>
                <w:rFonts w:ascii="Arial" w:hAnsi="Arial" w:cs="Arial"/>
              </w:rPr>
            </w:pPr>
            <w:r w:rsidRPr="0074005C">
              <w:rPr>
                <w:rFonts w:ascii="Arial" w:hAnsi="Arial" w:cs="Arial"/>
              </w:rPr>
              <w:t>Clinics – variable, around 2-3 clinics run per consultant per week.</w:t>
            </w:r>
          </w:p>
          <w:p w:rsidR="001D7A29" w:rsidRDefault="001D7A29" w:rsidP="00434404">
            <w:pPr>
              <w:rPr>
                <w:rFonts w:ascii="Arial" w:hAnsi="Arial" w:cs="Arial"/>
              </w:rPr>
            </w:pPr>
          </w:p>
          <w:p w:rsidR="001D7A29" w:rsidRPr="0074005C" w:rsidRDefault="001D7A29" w:rsidP="00434404">
            <w:pPr>
              <w:rPr>
                <w:rFonts w:ascii="Arial" w:hAnsi="Arial" w:cs="Arial"/>
              </w:rPr>
            </w:pPr>
            <w:r>
              <w:rPr>
                <w:rFonts w:ascii="Arial" w:hAnsi="Arial" w:cs="Arial"/>
              </w:rPr>
              <w:t>Thursdays – F2 teaching in PGMC, Grand round at 1pm.</w:t>
            </w:r>
          </w:p>
          <w:p w:rsidR="001007AF" w:rsidRPr="0074005C" w:rsidRDefault="001007AF" w:rsidP="00434404">
            <w:pPr>
              <w:rPr>
                <w:rFonts w:ascii="Arial" w:hAnsi="Arial" w:cs="Arial"/>
              </w:rPr>
            </w:pPr>
          </w:p>
          <w:p w:rsidR="006C7C96" w:rsidRDefault="006C7C96" w:rsidP="00434404">
            <w:pPr>
              <w:rPr>
                <w:rFonts w:ascii="Arial" w:hAnsi="Arial" w:cs="Arial"/>
              </w:rPr>
            </w:pPr>
            <w:r w:rsidRPr="0074005C">
              <w:rPr>
                <w:rFonts w:ascii="Arial" w:hAnsi="Arial" w:cs="Arial"/>
              </w:rPr>
              <w:t>On call requirements:</w:t>
            </w:r>
          </w:p>
          <w:p w:rsidR="006C7C96" w:rsidRPr="0074005C" w:rsidRDefault="006C7C96" w:rsidP="00434404">
            <w:pPr>
              <w:rPr>
                <w:rFonts w:ascii="Arial" w:hAnsi="Arial" w:cs="Arial"/>
              </w:rPr>
            </w:pPr>
            <w:r w:rsidRPr="0074005C">
              <w:rPr>
                <w:rFonts w:ascii="Arial" w:hAnsi="Arial" w:cs="Arial"/>
              </w:rPr>
              <w:t>AAU on calls about 1 in 4 week day on calls Monday-Thursday</w:t>
            </w:r>
            <w:r w:rsidR="007C349E">
              <w:rPr>
                <w:rFonts w:ascii="Arial" w:hAnsi="Arial" w:cs="Arial"/>
              </w:rPr>
              <w:t>.</w:t>
            </w:r>
          </w:p>
          <w:p w:rsidR="006C7C96" w:rsidRPr="0074005C" w:rsidRDefault="006C7C96" w:rsidP="00434404">
            <w:pPr>
              <w:rPr>
                <w:rFonts w:ascii="Arial" w:hAnsi="Arial" w:cs="Arial"/>
              </w:rPr>
            </w:pPr>
            <w:r w:rsidRPr="0074005C">
              <w:rPr>
                <w:rFonts w:ascii="Arial" w:hAnsi="Arial" w:cs="Arial"/>
              </w:rPr>
              <w:t>1 in 4 weekends Friday-Sunday, mixture of day and night</w:t>
            </w:r>
          </w:p>
          <w:p w:rsidR="006C7C96" w:rsidRPr="0074005C" w:rsidRDefault="006C7C96" w:rsidP="00434404">
            <w:pPr>
              <w:rPr>
                <w:rFonts w:ascii="Arial" w:hAnsi="Arial" w:cs="Arial"/>
              </w:rPr>
            </w:pPr>
          </w:p>
        </w:tc>
      </w:tr>
      <w:tr w:rsidR="001007AF" w:rsidRPr="004F4EE0" w:rsidTr="00814C29">
        <w:trPr>
          <w:trHeight w:val="144"/>
        </w:trPr>
        <w:tc>
          <w:tcPr>
            <w:tcW w:w="2770" w:type="dxa"/>
          </w:tcPr>
          <w:p w:rsidR="001007AF" w:rsidRPr="00C70B03" w:rsidRDefault="001007AF" w:rsidP="00434404">
            <w:pPr>
              <w:rPr>
                <w:rFonts w:ascii="Arial" w:hAnsi="Arial" w:cs="Arial"/>
                <w:b/>
              </w:rPr>
            </w:pPr>
            <w:r>
              <w:rPr>
                <w:rFonts w:ascii="Arial" w:hAnsi="Arial" w:cs="Arial"/>
                <w:b/>
                <w:sz w:val="22"/>
                <w:szCs w:val="22"/>
              </w:rPr>
              <w:t>Employer information</w:t>
            </w:r>
          </w:p>
        </w:tc>
        <w:tc>
          <w:tcPr>
            <w:tcW w:w="6372" w:type="dxa"/>
          </w:tcPr>
          <w:p w:rsidR="0074005C" w:rsidRPr="0074005C" w:rsidRDefault="001007AF" w:rsidP="0074005C">
            <w:pPr>
              <w:pStyle w:val="BodyText"/>
              <w:jc w:val="left"/>
              <w:rPr>
                <w:rFonts w:ascii="Arial" w:hAnsi="Arial" w:cs="Arial"/>
                <w:sz w:val="24"/>
                <w:szCs w:val="24"/>
              </w:rPr>
            </w:pPr>
            <w:r w:rsidRPr="0074005C">
              <w:rPr>
                <w:rFonts w:ascii="Arial" w:hAnsi="Arial" w:cs="Arial"/>
                <w:sz w:val="24"/>
                <w:szCs w:val="24"/>
              </w:rPr>
              <w:t>Chelsea and Westminster Hospital</w:t>
            </w:r>
            <w:r w:rsidR="007C349E">
              <w:rPr>
                <w:rFonts w:ascii="Arial" w:hAnsi="Arial" w:cs="Arial"/>
                <w:sz w:val="24"/>
                <w:szCs w:val="24"/>
              </w:rPr>
              <w:t xml:space="preserve"> NHS Foundation Trust</w:t>
            </w:r>
          </w:p>
          <w:p w:rsidR="001007AF" w:rsidRPr="0074005C" w:rsidRDefault="001007AF" w:rsidP="0074005C">
            <w:pPr>
              <w:pStyle w:val="BodyText"/>
              <w:jc w:val="left"/>
              <w:rPr>
                <w:rFonts w:ascii="Arial" w:hAnsi="Arial" w:cs="Arial"/>
                <w:sz w:val="24"/>
                <w:szCs w:val="24"/>
              </w:rPr>
            </w:pPr>
            <w:r w:rsidRPr="0074005C">
              <w:rPr>
                <w:rFonts w:ascii="Arial" w:hAnsi="Arial" w:cs="Arial"/>
                <w:sz w:val="24"/>
                <w:szCs w:val="24"/>
              </w:rPr>
              <w:t xml:space="preserve"> </w:t>
            </w:r>
          </w:p>
        </w:tc>
      </w:tr>
    </w:tbl>
    <w:p w:rsidR="001007AF" w:rsidRDefault="001007AF" w:rsidP="00676E82">
      <w:pPr>
        <w:rPr>
          <w:rFonts w:ascii="Arial" w:hAnsi="Arial" w:cs="Arial"/>
          <w:sz w:val="22"/>
          <w:szCs w:val="22"/>
        </w:rPr>
      </w:pPr>
    </w:p>
    <w:p w:rsidR="001007AF" w:rsidRDefault="001007AF" w:rsidP="00676E82">
      <w:pPr>
        <w:rPr>
          <w:rFonts w:ascii="Arial" w:hAnsi="Arial" w:cs="Arial"/>
          <w:sz w:val="22"/>
          <w:szCs w:val="22"/>
        </w:rPr>
      </w:pPr>
      <w:r>
        <w:rPr>
          <w:rFonts w:ascii="Arial" w:hAnsi="Arial" w:cs="Arial"/>
          <w:sz w:val="22"/>
          <w:szCs w:val="22"/>
        </w:rPr>
        <w:t>It is important to note that this description is a typical example of your placement and may be subject to change</w:t>
      </w:r>
    </w:p>
    <w:p w:rsidR="001007AF" w:rsidRPr="0074005C" w:rsidRDefault="001007AF">
      <w:pPr>
        <w:rPr>
          <w:rFonts w:ascii="Arial" w:hAnsi="Arial" w:cs="Arial"/>
          <w:sz w:val="22"/>
          <w:szCs w:val="22"/>
        </w:rPr>
      </w:pPr>
    </w:p>
    <w:sectPr w:rsidR="001007AF" w:rsidRPr="0074005C" w:rsidSect="00B7533E">
      <w:pgSz w:w="11906" w:h="16838"/>
      <w:pgMar w:top="5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17BCB"/>
    <w:multiLevelType w:val="hybridMultilevel"/>
    <w:tmpl w:val="E21024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6EDA7C45"/>
    <w:multiLevelType w:val="hybridMultilevel"/>
    <w:tmpl w:val="3D5EC164"/>
    <w:lvl w:ilvl="0" w:tplc="08090001">
      <w:start w:val="1"/>
      <w:numFmt w:val="bullet"/>
      <w:lvlText w:val=""/>
      <w:lvlJc w:val="left"/>
      <w:pPr>
        <w:tabs>
          <w:tab w:val="num" w:pos="720"/>
        </w:tabs>
        <w:ind w:left="720" w:hanging="360"/>
      </w:pPr>
      <w:rPr>
        <w:rFonts w:ascii="Symbol" w:hAnsi="Symbol" w:hint="default"/>
      </w:rPr>
    </w:lvl>
    <w:lvl w:ilvl="1" w:tplc="BA1C36B2">
      <w:start w:val="2"/>
      <w:numFmt w:val="bullet"/>
      <w:lvlText w:val="-"/>
      <w:lvlJc w:val="left"/>
      <w:pPr>
        <w:tabs>
          <w:tab w:val="num" w:pos="1440"/>
        </w:tabs>
        <w:ind w:left="1440" w:hanging="360"/>
      </w:pPr>
      <w:rPr>
        <w:rFonts w:ascii="Times New Roman" w:eastAsia="Times New Roman" w:hAnsi="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E82"/>
    <w:rsid w:val="000127C0"/>
    <w:rsid w:val="00032EDE"/>
    <w:rsid w:val="00046563"/>
    <w:rsid w:val="00047073"/>
    <w:rsid w:val="000E1621"/>
    <w:rsid w:val="000E6BA8"/>
    <w:rsid w:val="001007AF"/>
    <w:rsid w:val="00144D35"/>
    <w:rsid w:val="00174439"/>
    <w:rsid w:val="0018257D"/>
    <w:rsid w:val="00186B98"/>
    <w:rsid w:val="00196F2C"/>
    <w:rsid w:val="001B3136"/>
    <w:rsid w:val="001D7A29"/>
    <w:rsid w:val="00210D35"/>
    <w:rsid w:val="0023756A"/>
    <w:rsid w:val="0024084C"/>
    <w:rsid w:val="0024715F"/>
    <w:rsid w:val="00255438"/>
    <w:rsid w:val="00290B73"/>
    <w:rsid w:val="002C2651"/>
    <w:rsid w:val="002C3834"/>
    <w:rsid w:val="002C65BC"/>
    <w:rsid w:val="002E7A26"/>
    <w:rsid w:val="00330007"/>
    <w:rsid w:val="003612B4"/>
    <w:rsid w:val="0038557A"/>
    <w:rsid w:val="00395F9E"/>
    <w:rsid w:val="003D5DC9"/>
    <w:rsid w:val="004008DB"/>
    <w:rsid w:val="00413A9D"/>
    <w:rsid w:val="00434404"/>
    <w:rsid w:val="0043462B"/>
    <w:rsid w:val="00434DD4"/>
    <w:rsid w:val="004A1680"/>
    <w:rsid w:val="004F4EE0"/>
    <w:rsid w:val="004F65B6"/>
    <w:rsid w:val="00511065"/>
    <w:rsid w:val="00533594"/>
    <w:rsid w:val="00571B43"/>
    <w:rsid w:val="00590377"/>
    <w:rsid w:val="00590B13"/>
    <w:rsid w:val="005D7304"/>
    <w:rsid w:val="005D7CC4"/>
    <w:rsid w:val="005F4E80"/>
    <w:rsid w:val="00657445"/>
    <w:rsid w:val="00676E82"/>
    <w:rsid w:val="00686C2B"/>
    <w:rsid w:val="006C7C96"/>
    <w:rsid w:val="007076E8"/>
    <w:rsid w:val="0074005C"/>
    <w:rsid w:val="00753510"/>
    <w:rsid w:val="007666A0"/>
    <w:rsid w:val="007B3B0F"/>
    <w:rsid w:val="007C349E"/>
    <w:rsid w:val="008114E3"/>
    <w:rsid w:val="00814C29"/>
    <w:rsid w:val="00844F81"/>
    <w:rsid w:val="00855B5F"/>
    <w:rsid w:val="008A00A6"/>
    <w:rsid w:val="009017C3"/>
    <w:rsid w:val="00913A9B"/>
    <w:rsid w:val="009A179D"/>
    <w:rsid w:val="009C088C"/>
    <w:rsid w:val="009D2700"/>
    <w:rsid w:val="00A25AA7"/>
    <w:rsid w:val="00B37410"/>
    <w:rsid w:val="00B7533E"/>
    <w:rsid w:val="00C70B03"/>
    <w:rsid w:val="00C961B5"/>
    <w:rsid w:val="00D064A9"/>
    <w:rsid w:val="00D4171B"/>
    <w:rsid w:val="00D672DB"/>
    <w:rsid w:val="00DA5A98"/>
    <w:rsid w:val="00DF3584"/>
    <w:rsid w:val="00E422B3"/>
    <w:rsid w:val="00EB538A"/>
    <w:rsid w:val="00EC7FAF"/>
    <w:rsid w:val="00F909C5"/>
    <w:rsid w:val="00FE41EE"/>
    <w:rsid w:val="00FE5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E82"/>
    <w:rPr>
      <w:rFonts w:ascii="Cambria" w:eastAsia="Times New Roman" w:hAnsi="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76E82"/>
    <w:pPr>
      <w:widowControl w:val="0"/>
      <w:jc w:val="both"/>
    </w:pPr>
    <w:rPr>
      <w:rFonts w:ascii="Times New Roman" w:hAnsi="Times New Roman"/>
      <w:sz w:val="22"/>
      <w:szCs w:val="20"/>
      <w:lang w:val="en-GB"/>
    </w:rPr>
  </w:style>
  <w:style w:type="character" w:customStyle="1" w:styleId="BodyTextChar">
    <w:name w:val="Body Text Char"/>
    <w:basedOn w:val="DefaultParagraphFont"/>
    <w:link w:val="BodyText"/>
    <w:uiPriority w:val="99"/>
    <w:locked/>
    <w:rsid w:val="00676E82"/>
    <w:rPr>
      <w:rFonts w:ascii="Times New Roman" w:hAnsi="Times New Roman" w:cs="Times New Roman"/>
      <w:sz w:val="20"/>
      <w:szCs w:val="20"/>
    </w:rPr>
  </w:style>
  <w:style w:type="paragraph" w:styleId="NoSpacing">
    <w:name w:val="No Spacing"/>
    <w:uiPriority w:val="1"/>
    <w:qFormat/>
    <w:rsid w:val="004008DB"/>
    <w:rPr>
      <w:rFonts w:ascii="Cambria" w:eastAsia="Times New Roman" w:hAnsi="Cambria"/>
      <w:sz w:val="24"/>
      <w:szCs w:val="24"/>
      <w:lang w:val="en-US" w:eastAsia="en-US"/>
    </w:rPr>
  </w:style>
  <w:style w:type="paragraph" w:styleId="BalloonText">
    <w:name w:val="Balloon Text"/>
    <w:basedOn w:val="Normal"/>
    <w:link w:val="BalloonTextChar"/>
    <w:uiPriority w:val="99"/>
    <w:semiHidden/>
    <w:unhideWhenUsed/>
    <w:rsid w:val="00B37410"/>
    <w:rPr>
      <w:rFonts w:ascii="Tahoma" w:hAnsi="Tahoma" w:cs="Tahoma"/>
      <w:sz w:val="16"/>
      <w:szCs w:val="16"/>
    </w:rPr>
  </w:style>
  <w:style w:type="character" w:customStyle="1" w:styleId="BalloonTextChar">
    <w:name w:val="Balloon Text Char"/>
    <w:basedOn w:val="DefaultParagraphFont"/>
    <w:link w:val="BalloonText"/>
    <w:uiPriority w:val="99"/>
    <w:semiHidden/>
    <w:rsid w:val="00B37410"/>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E82"/>
    <w:rPr>
      <w:rFonts w:ascii="Cambria" w:eastAsia="Times New Roman" w:hAnsi="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76E82"/>
    <w:pPr>
      <w:widowControl w:val="0"/>
      <w:jc w:val="both"/>
    </w:pPr>
    <w:rPr>
      <w:rFonts w:ascii="Times New Roman" w:hAnsi="Times New Roman"/>
      <w:sz w:val="22"/>
      <w:szCs w:val="20"/>
      <w:lang w:val="en-GB"/>
    </w:rPr>
  </w:style>
  <w:style w:type="character" w:customStyle="1" w:styleId="BodyTextChar">
    <w:name w:val="Body Text Char"/>
    <w:basedOn w:val="DefaultParagraphFont"/>
    <w:link w:val="BodyText"/>
    <w:uiPriority w:val="99"/>
    <w:locked/>
    <w:rsid w:val="00676E82"/>
    <w:rPr>
      <w:rFonts w:ascii="Times New Roman" w:hAnsi="Times New Roman" w:cs="Times New Roman"/>
      <w:sz w:val="20"/>
      <w:szCs w:val="20"/>
    </w:rPr>
  </w:style>
  <w:style w:type="paragraph" w:styleId="NoSpacing">
    <w:name w:val="No Spacing"/>
    <w:uiPriority w:val="1"/>
    <w:qFormat/>
    <w:rsid w:val="004008DB"/>
    <w:rPr>
      <w:rFonts w:ascii="Cambria" w:eastAsia="Times New Roman" w:hAnsi="Cambria"/>
      <w:sz w:val="24"/>
      <w:szCs w:val="24"/>
      <w:lang w:val="en-US" w:eastAsia="en-US"/>
    </w:rPr>
  </w:style>
  <w:style w:type="paragraph" w:styleId="BalloonText">
    <w:name w:val="Balloon Text"/>
    <w:basedOn w:val="Normal"/>
    <w:link w:val="BalloonTextChar"/>
    <w:uiPriority w:val="99"/>
    <w:semiHidden/>
    <w:unhideWhenUsed/>
    <w:rsid w:val="00B37410"/>
    <w:rPr>
      <w:rFonts w:ascii="Tahoma" w:hAnsi="Tahoma" w:cs="Tahoma"/>
      <w:sz w:val="16"/>
      <w:szCs w:val="16"/>
    </w:rPr>
  </w:style>
  <w:style w:type="character" w:customStyle="1" w:styleId="BalloonTextChar">
    <w:name w:val="Balloon Text Char"/>
    <w:basedOn w:val="DefaultParagraphFont"/>
    <w:link w:val="BalloonText"/>
    <w:uiPriority w:val="99"/>
    <w:semiHidden/>
    <w:rsid w:val="00B37410"/>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557</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Appendix E – Individual placement description (Template)</vt:lpstr>
    </vt:vector>
  </TitlesOfParts>
  <Company>Imperial College</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 – Individual placement description (Template)</dc:title>
  <dc:creator>pshallar</dc:creator>
  <cp:lastModifiedBy>Ferres, Jonathan</cp:lastModifiedBy>
  <cp:revision>3</cp:revision>
  <dcterms:created xsi:type="dcterms:W3CDTF">2016-01-12T13:51:00Z</dcterms:created>
  <dcterms:modified xsi:type="dcterms:W3CDTF">2016-01-20T10:22:00Z</dcterms:modified>
</cp:coreProperties>
</file>