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95" w:rsidRDefault="00907695" w:rsidP="00FC6C97">
      <w:pPr>
        <w:tabs>
          <w:tab w:val="center" w:pos="5040"/>
          <w:tab w:val="right" w:pos="9900"/>
        </w:tabs>
        <w:jc w:val="right"/>
        <w:rPr>
          <w:noProof/>
          <w:lang w:val="en-GB" w:eastAsia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82" w:rsidRDefault="00676E82" w:rsidP="00E43895">
      <w:pPr>
        <w:tabs>
          <w:tab w:val="center" w:pos="5040"/>
          <w:tab w:val="right" w:pos="9900"/>
        </w:tabs>
      </w:pPr>
      <w:r>
        <w:t xml:space="preserve">                                                                     </w:t>
      </w:r>
    </w:p>
    <w:p w:rsidR="00676E82" w:rsidRDefault="004C751E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4C751E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4C751E">
        <w:rPr>
          <w:rFonts w:ascii="Arial" w:hAnsi="Arial" w:cs="Arial"/>
          <w:b/>
          <w:sz w:val="28"/>
          <w:szCs w:val="28"/>
        </w:rPr>
        <w:t>2 Intensive Care Medicine</w:t>
      </w:r>
      <w:r>
        <w:rPr>
          <w:rFonts w:ascii="Arial" w:hAnsi="Arial" w:cs="Arial"/>
          <w:b/>
          <w:sz w:val="28"/>
          <w:szCs w:val="28"/>
        </w:rPr>
        <w:t xml:space="preserve"> (RMH)</w:t>
      </w:r>
    </w:p>
    <w:p w:rsidR="00676E82" w:rsidRDefault="00676E82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945"/>
      </w:tblGrid>
      <w:tr w:rsidR="00676E82" w:rsidRPr="004F4EE0" w:rsidTr="00FC6C97">
        <w:trPr>
          <w:trHeight w:val="144"/>
        </w:trPr>
        <w:tc>
          <w:tcPr>
            <w:tcW w:w="2235" w:type="dxa"/>
          </w:tcPr>
          <w:p w:rsidR="00676E82" w:rsidRPr="004F4EE0" w:rsidRDefault="00676E82" w:rsidP="00CD25D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6945" w:type="dxa"/>
          </w:tcPr>
          <w:p w:rsidR="000B42EE" w:rsidRDefault="00970DA2" w:rsidP="00A0119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F2 </w:t>
            </w:r>
            <w:r w:rsidR="00FC6C97">
              <w:rPr>
                <w:rFonts w:ascii="Arial" w:hAnsi="Arial" w:cs="Arial"/>
              </w:rPr>
              <w:t>Intensive Care Medicine</w:t>
            </w:r>
          </w:p>
          <w:p w:rsidR="00D050D7" w:rsidRPr="00F909C5" w:rsidRDefault="00D050D7" w:rsidP="00A01198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FC6C97">
        <w:trPr>
          <w:trHeight w:val="144"/>
        </w:trPr>
        <w:tc>
          <w:tcPr>
            <w:tcW w:w="2235" w:type="dxa"/>
          </w:tcPr>
          <w:p w:rsidR="00676E82" w:rsidRDefault="00676E82" w:rsidP="00CD25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6945" w:type="dxa"/>
          </w:tcPr>
          <w:p w:rsidR="00FC6C97" w:rsidRDefault="000B42EE" w:rsidP="00CD2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Care Unit</w:t>
            </w:r>
            <w:r w:rsidR="00A01198">
              <w:rPr>
                <w:rFonts w:ascii="Arial" w:hAnsi="Arial" w:cs="Arial"/>
              </w:rPr>
              <w:t>; The Royal Marsden CCU comprises of 16 beds</w:t>
            </w:r>
            <w:r w:rsidR="005248ED">
              <w:rPr>
                <w:rFonts w:ascii="Arial" w:hAnsi="Arial" w:cs="Arial"/>
              </w:rPr>
              <w:t xml:space="preserve">, one of the largest specialist cancer critical care units in the United Kingdom. The </w:t>
            </w:r>
            <w:r w:rsidR="004C2EC5">
              <w:rPr>
                <w:rFonts w:ascii="Arial" w:hAnsi="Arial" w:cs="Arial"/>
              </w:rPr>
              <w:t xml:space="preserve">unit admits 1400 patients per annum and is able to provide multi-organ support for patients. The </w:t>
            </w:r>
            <w:r w:rsidR="005248ED">
              <w:rPr>
                <w:rFonts w:ascii="Arial" w:hAnsi="Arial" w:cs="Arial"/>
              </w:rPr>
              <w:t>case mix for the unit include</w:t>
            </w:r>
            <w:r w:rsidR="004C2EC5">
              <w:rPr>
                <w:rFonts w:ascii="Arial" w:hAnsi="Arial" w:cs="Arial"/>
              </w:rPr>
              <w:t>s</w:t>
            </w:r>
            <w:r w:rsidR="005248ED">
              <w:rPr>
                <w:rFonts w:ascii="Arial" w:hAnsi="Arial" w:cs="Arial"/>
              </w:rPr>
              <w:t xml:space="preserve"> post-operative patients following major cancer surgery, medical oncology patients and bone marrow transplant</w:t>
            </w:r>
            <w:r w:rsidR="004C2EC5">
              <w:rPr>
                <w:rFonts w:ascii="Arial" w:hAnsi="Arial" w:cs="Arial"/>
              </w:rPr>
              <w:t xml:space="preserve"> patients</w:t>
            </w:r>
            <w:r w:rsidR="005248ED">
              <w:rPr>
                <w:rFonts w:ascii="Arial" w:hAnsi="Arial" w:cs="Arial"/>
              </w:rPr>
              <w:t xml:space="preserve">. </w:t>
            </w:r>
          </w:p>
          <w:p w:rsidR="00FC6C97" w:rsidRDefault="00FC6C97" w:rsidP="00CD25D8">
            <w:pPr>
              <w:rPr>
                <w:rFonts w:ascii="Arial" w:hAnsi="Arial" w:cs="Arial"/>
              </w:rPr>
            </w:pPr>
          </w:p>
          <w:p w:rsidR="00FC6C97" w:rsidRDefault="005248ED" w:rsidP="00CD2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7 dedicated critical care c</w:t>
            </w:r>
            <w:r w:rsidR="004C2EC5">
              <w:rPr>
                <w:rFonts w:ascii="Arial" w:hAnsi="Arial" w:cs="Arial"/>
              </w:rPr>
              <w:t xml:space="preserve">onsultants who run the service, 14 </w:t>
            </w:r>
            <w:r>
              <w:rPr>
                <w:rFonts w:ascii="Arial" w:hAnsi="Arial" w:cs="Arial"/>
              </w:rPr>
              <w:t xml:space="preserve">senior </w:t>
            </w:r>
            <w:proofErr w:type="spellStart"/>
            <w:r>
              <w:rPr>
                <w:rFonts w:ascii="Arial" w:hAnsi="Arial" w:cs="Arial"/>
              </w:rPr>
              <w:t>Anaesthetic</w:t>
            </w:r>
            <w:proofErr w:type="spellEnd"/>
            <w:r>
              <w:rPr>
                <w:rFonts w:ascii="Arial" w:hAnsi="Arial" w:cs="Arial"/>
              </w:rPr>
              <w:t xml:space="preserve"> and/or Intensive Care Registrars and 4 Foundation Year 2 doctors who provide </w:t>
            </w:r>
            <w:r w:rsidR="004C2EC5">
              <w:rPr>
                <w:rFonts w:ascii="Arial" w:hAnsi="Arial" w:cs="Arial"/>
              </w:rPr>
              <w:t xml:space="preserve">dedicated </w:t>
            </w:r>
            <w:r>
              <w:rPr>
                <w:rFonts w:ascii="Arial" w:hAnsi="Arial" w:cs="Arial"/>
              </w:rPr>
              <w:t xml:space="preserve">medical cover for the unit. </w:t>
            </w:r>
          </w:p>
          <w:p w:rsidR="00FC6C97" w:rsidRDefault="00FC6C97" w:rsidP="00CD25D8">
            <w:pPr>
              <w:rPr>
                <w:rFonts w:ascii="Arial" w:hAnsi="Arial" w:cs="Arial"/>
              </w:rPr>
            </w:pPr>
          </w:p>
          <w:p w:rsidR="00676E82" w:rsidRDefault="005248ED" w:rsidP="00CD2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department </w:t>
            </w:r>
            <w:r w:rsidR="00B01B06">
              <w:rPr>
                <w:rFonts w:ascii="Arial" w:hAnsi="Arial" w:cs="Arial"/>
              </w:rPr>
              <w:t>runs a structured</w:t>
            </w:r>
            <w:r>
              <w:rPr>
                <w:rFonts w:ascii="Arial" w:hAnsi="Arial" w:cs="Arial"/>
              </w:rPr>
              <w:t xml:space="preserve"> education </w:t>
            </w:r>
            <w:proofErr w:type="spellStart"/>
            <w:r>
              <w:rPr>
                <w:rFonts w:ascii="Arial" w:hAnsi="Arial" w:cs="Arial"/>
              </w:rPr>
              <w:t>program</w:t>
            </w:r>
            <w:r w:rsidR="004C2EC5">
              <w:rPr>
                <w:rFonts w:ascii="Arial" w:hAnsi="Arial" w:cs="Arial"/>
              </w:rPr>
              <w:t>me</w:t>
            </w:r>
            <w:proofErr w:type="spellEnd"/>
            <w:r>
              <w:rPr>
                <w:rFonts w:ascii="Arial" w:hAnsi="Arial" w:cs="Arial"/>
              </w:rPr>
              <w:t xml:space="preserve"> which include</w:t>
            </w:r>
            <w:r w:rsidR="004C2EC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journal club, in situ simulation, weekly dedicated </w:t>
            </w:r>
            <w:r w:rsidR="004C2EC5">
              <w:rPr>
                <w:rFonts w:ascii="Arial" w:hAnsi="Arial" w:cs="Arial"/>
              </w:rPr>
              <w:t>consultant lead teaching</w:t>
            </w:r>
            <w:r>
              <w:rPr>
                <w:rFonts w:ascii="Arial" w:hAnsi="Arial" w:cs="Arial"/>
              </w:rPr>
              <w:t>, central line/chest drain courses and an introduction to intensive care (Basic Assessment and Support in Intensive Care Course) for Foundation Year 2 doctors.</w:t>
            </w:r>
            <w:r w:rsidR="00B01B06">
              <w:rPr>
                <w:rFonts w:ascii="Arial" w:hAnsi="Arial" w:cs="Arial"/>
              </w:rPr>
              <w:t xml:space="preserve"> </w:t>
            </w:r>
          </w:p>
          <w:p w:rsidR="00FC6C97" w:rsidRPr="00F909C5" w:rsidRDefault="00FC6C97" w:rsidP="00CD25D8">
            <w:pPr>
              <w:rPr>
                <w:rFonts w:ascii="Arial" w:hAnsi="Arial" w:cs="Arial"/>
              </w:rPr>
            </w:pPr>
          </w:p>
        </w:tc>
      </w:tr>
      <w:tr w:rsidR="00330007" w:rsidRPr="004F4EE0" w:rsidTr="00FC6C97">
        <w:trPr>
          <w:trHeight w:val="144"/>
        </w:trPr>
        <w:tc>
          <w:tcPr>
            <w:tcW w:w="2235" w:type="dxa"/>
          </w:tcPr>
          <w:p w:rsidR="00330007" w:rsidRPr="004F4EE0" w:rsidRDefault="00330007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6945" w:type="dxa"/>
          </w:tcPr>
          <w:p w:rsidR="00330007" w:rsidRPr="00F909C5" w:rsidRDefault="000B42EE" w:rsidP="00CD2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Royal Marsden, </w:t>
            </w:r>
            <w:proofErr w:type="spellStart"/>
            <w:r>
              <w:rPr>
                <w:rFonts w:ascii="Arial" w:hAnsi="Arial" w:cs="Arial"/>
              </w:rPr>
              <w:t>Fulham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  <w:r w:rsidR="00FC6C97">
              <w:rPr>
                <w:rFonts w:ascii="Arial" w:hAnsi="Arial" w:cs="Arial"/>
              </w:rPr>
              <w:t xml:space="preserve">, SW3 6JJ </w:t>
            </w:r>
          </w:p>
          <w:p w:rsidR="00330007" w:rsidRPr="00F909C5" w:rsidRDefault="00330007" w:rsidP="00CD25D8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FC6C97">
        <w:trPr>
          <w:trHeight w:val="144"/>
        </w:trPr>
        <w:tc>
          <w:tcPr>
            <w:tcW w:w="2235" w:type="dxa"/>
          </w:tcPr>
          <w:p w:rsidR="00676E82" w:rsidRPr="00047073" w:rsidRDefault="00676E82" w:rsidP="00CD25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6945" w:type="dxa"/>
          </w:tcPr>
          <w:p w:rsidR="00A01198" w:rsidRDefault="004325B5" w:rsidP="0043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Twice daily consultant </w:t>
            </w:r>
            <w:r w:rsidR="00A5540E">
              <w:rPr>
                <w:rFonts w:ascii="Arial" w:hAnsi="Arial" w:cs="Arial"/>
              </w:rPr>
              <w:t>le</w:t>
            </w:r>
            <w:r w:rsidR="004C2EC5"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</w:rPr>
              <w:t xml:space="preserve">ward rounds. Daily review of CCU patients. </w:t>
            </w:r>
            <w:r w:rsidR="004C2EC5">
              <w:rPr>
                <w:rFonts w:ascii="Arial" w:hAnsi="Arial" w:cs="Arial"/>
              </w:rPr>
              <w:t xml:space="preserve">Admission and discharge of CCU patients </w:t>
            </w:r>
            <w:r>
              <w:rPr>
                <w:rFonts w:ascii="Arial" w:hAnsi="Arial" w:cs="Arial"/>
              </w:rPr>
              <w:t xml:space="preserve">Opportunity to develop practical skills – </w:t>
            </w:r>
            <w:r w:rsidR="004C2EC5">
              <w:rPr>
                <w:rFonts w:ascii="Arial" w:hAnsi="Arial" w:cs="Arial"/>
              </w:rPr>
              <w:t xml:space="preserve">central </w:t>
            </w:r>
            <w:r>
              <w:rPr>
                <w:rFonts w:ascii="Arial" w:hAnsi="Arial" w:cs="Arial"/>
              </w:rPr>
              <w:t>line</w:t>
            </w:r>
            <w:r w:rsidR="00767DCB">
              <w:rPr>
                <w:rFonts w:ascii="Arial" w:hAnsi="Arial" w:cs="Arial"/>
              </w:rPr>
              <w:t>, arterial line,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4C2EC5">
              <w:rPr>
                <w:rFonts w:ascii="Arial" w:hAnsi="Arial" w:cs="Arial"/>
              </w:rPr>
              <w:t>chest</w:t>
            </w:r>
            <w:proofErr w:type="gramEnd"/>
            <w:r w:rsidR="004C2E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drain insertions, and airway management.</w:t>
            </w:r>
            <w:r w:rsidR="00A01198">
              <w:rPr>
                <w:rFonts w:ascii="Arial" w:hAnsi="Arial" w:cs="Arial"/>
              </w:rPr>
              <w:t xml:space="preserve"> </w:t>
            </w:r>
          </w:p>
          <w:p w:rsidR="00676E82" w:rsidRDefault="00A01198" w:rsidP="00432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Additionally:</w:t>
            </w:r>
          </w:p>
          <w:p w:rsidR="00A01198" w:rsidRPr="00195E9C" w:rsidRDefault="00A01198" w:rsidP="00A01198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195E9C">
              <w:rPr>
                <w:rFonts w:ascii="Arial" w:hAnsi="Arial" w:cs="Arial"/>
              </w:rPr>
              <w:t>Take a history and examine a patient</w:t>
            </w:r>
          </w:p>
          <w:p w:rsidR="00A01198" w:rsidRPr="00195E9C" w:rsidRDefault="00767DCB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and synthesiz</w:t>
            </w:r>
            <w:r w:rsidR="00A01198" w:rsidRPr="00195E9C">
              <w:rPr>
                <w:rFonts w:ascii="Arial" w:hAnsi="Arial" w:cs="Arial"/>
              </w:rPr>
              <w:t>e problems</w:t>
            </w:r>
          </w:p>
          <w:p w:rsidR="00A01198" w:rsidRPr="00195E9C" w:rsidRDefault="00A01198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95E9C">
              <w:rPr>
                <w:rFonts w:ascii="Arial" w:hAnsi="Arial" w:cs="Arial"/>
              </w:rPr>
              <w:t>Prescribe safely</w:t>
            </w:r>
          </w:p>
          <w:p w:rsidR="00A01198" w:rsidRPr="00195E9C" w:rsidRDefault="00A01198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95E9C">
              <w:rPr>
                <w:rFonts w:ascii="Arial" w:hAnsi="Arial" w:cs="Arial"/>
              </w:rPr>
              <w:t xml:space="preserve">Keep an accurate and relevant medical record </w:t>
            </w:r>
          </w:p>
          <w:p w:rsidR="00A01198" w:rsidRPr="00195E9C" w:rsidRDefault="00A01198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95E9C">
              <w:rPr>
                <w:rFonts w:ascii="Arial" w:hAnsi="Arial" w:cs="Arial"/>
              </w:rPr>
              <w:t>Manage time and clinical priorities effectively</w:t>
            </w:r>
          </w:p>
          <w:p w:rsidR="00A01198" w:rsidRPr="00195E9C" w:rsidRDefault="00A01198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95E9C">
              <w:rPr>
                <w:rFonts w:ascii="Arial" w:hAnsi="Arial" w:cs="Arial"/>
              </w:rPr>
              <w:t>Communicate effectively with patients, relatives and colleagues</w:t>
            </w:r>
          </w:p>
          <w:p w:rsidR="00A01198" w:rsidRPr="00195E9C" w:rsidRDefault="00A01198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95E9C">
              <w:rPr>
                <w:rFonts w:ascii="Arial" w:hAnsi="Arial" w:cs="Arial"/>
              </w:rPr>
              <w:t>Use evidence, guidelines and audit to benefit patient care</w:t>
            </w:r>
          </w:p>
          <w:p w:rsidR="00A01198" w:rsidRPr="00195E9C" w:rsidRDefault="00A01198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95E9C">
              <w:rPr>
                <w:rFonts w:ascii="Arial" w:hAnsi="Arial" w:cs="Arial"/>
              </w:rPr>
              <w:t>Act in a professional manner at all times</w:t>
            </w:r>
          </w:p>
          <w:p w:rsidR="00A01198" w:rsidRPr="00195E9C" w:rsidRDefault="00A01198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95E9C">
              <w:rPr>
                <w:rFonts w:ascii="Arial" w:hAnsi="Arial" w:cs="Arial"/>
              </w:rPr>
              <w:t>Cope with ethical and legal issues which occur during the management of patients with general medical problems</w:t>
            </w:r>
          </w:p>
          <w:p w:rsidR="00A01198" w:rsidRPr="00195E9C" w:rsidRDefault="00A01198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95E9C">
              <w:rPr>
                <w:rFonts w:ascii="Arial" w:hAnsi="Arial" w:cs="Arial"/>
              </w:rPr>
              <w:t>Educate patients effectively</w:t>
            </w:r>
          </w:p>
          <w:p w:rsidR="00A01198" w:rsidRDefault="00A01198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195E9C">
              <w:rPr>
                <w:rFonts w:ascii="Arial" w:hAnsi="Arial" w:cs="Arial"/>
              </w:rPr>
              <w:lastRenderedPageBreak/>
              <w:t xml:space="preserve">Become life-long learners </w:t>
            </w:r>
            <w:r w:rsidR="00767DCB">
              <w:rPr>
                <w:rFonts w:ascii="Arial" w:hAnsi="Arial" w:cs="Arial"/>
              </w:rPr>
              <w:t>and teachers</w:t>
            </w:r>
          </w:p>
          <w:p w:rsidR="00767DCB" w:rsidRDefault="00767DCB" w:rsidP="00A0119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on ward rounds and at multidisciplinary team meetings</w:t>
            </w:r>
          </w:p>
          <w:p w:rsidR="00767DCB" w:rsidRDefault="00767DCB" w:rsidP="00767D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doctors are also actively </w:t>
            </w:r>
            <w:proofErr w:type="gramStart"/>
            <w:r>
              <w:rPr>
                <w:rFonts w:ascii="Arial" w:hAnsi="Arial" w:cs="Arial"/>
              </w:rPr>
              <w:t>encourage</w:t>
            </w:r>
            <w:proofErr w:type="gramEnd"/>
            <w:r>
              <w:rPr>
                <w:rFonts w:ascii="Arial" w:hAnsi="Arial" w:cs="Arial"/>
              </w:rPr>
              <w:t xml:space="preserve"> to be involved with audit projects, service improvement projects and research.</w:t>
            </w:r>
          </w:p>
          <w:p w:rsidR="00575018" w:rsidRPr="00A01198" w:rsidRDefault="00575018" w:rsidP="004C2EC5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FC6C97">
        <w:trPr>
          <w:trHeight w:val="144"/>
        </w:trPr>
        <w:tc>
          <w:tcPr>
            <w:tcW w:w="2235" w:type="dxa"/>
          </w:tcPr>
          <w:p w:rsidR="00676E82" w:rsidRPr="00195E9C" w:rsidRDefault="00676E82" w:rsidP="00CD25D8">
            <w:pPr>
              <w:jc w:val="both"/>
              <w:rPr>
                <w:rFonts w:ascii="Arial" w:hAnsi="Arial" w:cs="Arial"/>
                <w:b/>
              </w:rPr>
            </w:pPr>
            <w:r w:rsidRPr="00195E9C">
              <w:rPr>
                <w:rFonts w:ascii="Arial" w:hAnsi="Arial" w:cs="Arial"/>
                <w:b/>
              </w:rPr>
              <w:lastRenderedPageBreak/>
              <w:t>Clinical Supervisor(s) for the placement</w:t>
            </w:r>
          </w:p>
        </w:tc>
        <w:tc>
          <w:tcPr>
            <w:tcW w:w="6945" w:type="dxa"/>
          </w:tcPr>
          <w:p w:rsidR="00676E82" w:rsidRPr="00195E9C" w:rsidRDefault="004C2EC5" w:rsidP="00CD2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P</w:t>
            </w:r>
            <w:r w:rsidR="00FC6C97">
              <w:rPr>
                <w:rFonts w:ascii="Arial" w:hAnsi="Arial" w:cs="Arial"/>
              </w:rPr>
              <w:t xml:space="preserve"> Gruber and </w:t>
            </w:r>
            <w:r>
              <w:rPr>
                <w:rFonts w:ascii="Arial" w:hAnsi="Arial" w:cs="Arial"/>
              </w:rPr>
              <w:t>Dr V Grover</w:t>
            </w:r>
          </w:p>
          <w:p w:rsidR="00676E82" w:rsidRPr="00195E9C" w:rsidRDefault="00676E82" w:rsidP="00CD25D8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FC6C97">
        <w:trPr>
          <w:trHeight w:val="144"/>
        </w:trPr>
        <w:tc>
          <w:tcPr>
            <w:tcW w:w="2235" w:type="dxa"/>
          </w:tcPr>
          <w:p w:rsidR="00676E82" w:rsidRDefault="00676E82" w:rsidP="00CD25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6945" w:type="dxa"/>
          </w:tcPr>
          <w:p w:rsidR="00676E82" w:rsidRPr="00F909C5" w:rsidRDefault="004C2EC5" w:rsidP="00CD25D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 clinical care for level 2 and 3 patients on the critical care unit. </w:t>
            </w:r>
          </w:p>
          <w:p w:rsidR="00330007" w:rsidRPr="00F909C5" w:rsidRDefault="00330007" w:rsidP="00CD25D8">
            <w:pPr>
              <w:jc w:val="both"/>
              <w:rPr>
                <w:rFonts w:ascii="Arial" w:hAnsi="Arial" w:cs="Arial"/>
              </w:rPr>
            </w:pPr>
          </w:p>
        </w:tc>
      </w:tr>
      <w:tr w:rsidR="00676E82" w:rsidRPr="004F4EE0" w:rsidTr="00FC6C97">
        <w:trPr>
          <w:trHeight w:val="144"/>
        </w:trPr>
        <w:tc>
          <w:tcPr>
            <w:tcW w:w="2235" w:type="dxa"/>
          </w:tcPr>
          <w:p w:rsidR="00676E82" w:rsidRDefault="00676E82" w:rsidP="00FC6C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6945" w:type="dxa"/>
          </w:tcPr>
          <w:p w:rsidR="00FC6C97" w:rsidRDefault="004C2EC5" w:rsidP="00CD25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Twice d</w:t>
            </w:r>
            <w:r w:rsidR="004325B5" w:rsidRPr="00195E9C">
              <w:rPr>
                <w:rFonts w:ascii="Arial" w:hAnsi="Arial" w:cs="Arial"/>
              </w:rPr>
              <w:t>aily ward rounds</w:t>
            </w:r>
            <w:r w:rsidR="004325B5">
              <w:rPr>
                <w:rFonts w:ascii="Arial" w:hAnsi="Arial" w:cs="Arial"/>
              </w:rPr>
              <w:t xml:space="preserve"> with consultants (8am-11am; 5pm-7pm), daily review of up to 16 CCU patients, occasional opportunity to go to theatre and manage a patient in an </w:t>
            </w:r>
            <w:proofErr w:type="spellStart"/>
            <w:r w:rsidR="004325B5">
              <w:rPr>
                <w:rFonts w:ascii="Arial" w:hAnsi="Arial" w:cs="Arial"/>
              </w:rPr>
              <w:t>anaesthetist’s</w:t>
            </w:r>
            <w:proofErr w:type="spellEnd"/>
            <w:r w:rsidR="004325B5">
              <w:rPr>
                <w:rFonts w:ascii="Arial" w:hAnsi="Arial" w:cs="Arial"/>
              </w:rPr>
              <w:t xml:space="preserve"> role. </w:t>
            </w:r>
          </w:p>
          <w:p w:rsidR="00FC6C97" w:rsidRDefault="00FC6C97" w:rsidP="00CD25D8">
            <w:pPr>
              <w:rPr>
                <w:rFonts w:ascii="Arial" w:hAnsi="Arial" w:cs="Arial"/>
              </w:rPr>
            </w:pPr>
          </w:p>
          <w:p w:rsidR="004325B5" w:rsidRDefault="004325B5" w:rsidP="00CD25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Long days 8am-8pm, short days 8am-6pm, </w:t>
            </w:r>
            <w:r w:rsidR="004C2EC5">
              <w:rPr>
                <w:rFonts w:ascii="Arial" w:hAnsi="Arial" w:cs="Arial"/>
              </w:rPr>
              <w:t xml:space="preserve">nights 8pm-8 am. </w:t>
            </w:r>
          </w:p>
          <w:p w:rsidR="00676E82" w:rsidRPr="00F909C5" w:rsidRDefault="00676E82" w:rsidP="00CD25D8">
            <w:pPr>
              <w:rPr>
                <w:rFonts w:ascii="Arial" w:hAnsi="Arial" w:cs="Arial"/>
              </w:rPr>
            </w:pPr>
            <w:r w:rsidRPr="00F909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76E82" w:rsidRPr="00195E9C" w:rsidTr="00FC6C97">
        <w:trPr>
          <w:trHeight w:val="144"/>
        </w:trPr>
        <w:tc>
          <w:tcPr>
            <w:tcW w:w="2235" w:type="dxa"/>
          </w:tcPr>
          <w:p w:rsidR="00676E82" w:rsidRPr="00C70B03" w:rsidRDefault="00676E82" w:rsidP="00CD25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6945" w:type="dxa"/>
          </w:tcPr>
          <w:p w:rsidR="004325B5" w:rsidRPr="00195E9C" w:rsidRDefault="00FC6C97" w:rsidP="00195E9C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F2 will remain an employee of Chelsea and Westminster but will have an honorary contract with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4325B5" w:rsidRPr="00195E9C">
              <w:rPr>
                <w:rFonts w:ascii="Arial" w:hAnsi="Arial" w:cs="Arial"/>
                <w:sz w:val="24"/>
                <w:szCs w:val="24"/>
              </w:rPr>
              <w:t>he</w:t>
            </w:r>
            <w:proofErr w:type="spellEnd"/>
            <w:r w:rsidR="004325B5" w:rsidRPr="00195E9C">
              <w:rPr>
                <w:rFonts w:ascii="Arial" w:hAnsi="Arial" w:cs="Arial"/>
                <w:sz w:val="24"/>
                <w:szCs w:val="24"/>
              </w:rPr>
              <w:t xml:space="preserve"> Royal Marsden Hospital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76E82" w:rsidRPr="00195E9C" w:rsidRDefault="00676E82" w:rsidP="00235EBD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6E82" w:rsidRDefault="00676E82" w:rsidP="00676E82">
      <w:pPr>
        <w:rPr>
          <w:rFonts w:ascii="Arial" w:hAnsi="Arial" w:cs="Arial"/>
          <w:sz w:val="22"/>
          <w:szCs w:val="22"/>
        </w:rPr>
      </w:pPr>
    </w:p>
    <w:p w:rsidR="00676E82" w:rsidRPr="000127C0" w:rsidRDefault="00676E82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4F65B6" w:rsidRPr="00195E9C" w:rsidRDefault="004F65B6">
      <w:pPr>
        <w:rPr>
          <w:rFonts w:ascii="Arial" w:hAnsi="Arial" w:cs="Arial"/>
          <w:sz w:val="22"/>
          <w:szCs w:val="22"/>
        </w:rPr>
      </w:pPr>
    </w:p>
    <w:sectPr w:rsidR="004F65B6" w:rsidRPr="00195E9C" w:rsidSect="004F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B42EE"/>
    <w:rsid w:val="000C74ED"/>
    <w:rsid w:val="00195E9C"/>
    <w:rsid w:val="0020129F"/>
    <w:rsid w:val="00235EBD"/>
    <w:rsid w:val="00320F72"/>
    <w:rsid w:val="00330007"/>
    <w:rsid w:val="004325B5"/>
    <w:rsid w:val="004C2EC5"/>
    <w:rsid w:val="004C751E"/>
    <w:rsid w:val="004F65B6"/>
    <w:rsid w:val="005248ED"/>
    <w:rsid w:val="00575018"/>
    <w:rsid w:val="00676E82"/>
    <w:rsid w:val="00767DCB"/>
    <w:rsid w:val="00907695"/>
    <w:rsid w:val="00970DA2"/>
    <w:rsid w:val="00A01198"/>
    <w:rsid w:val="00A5540E"/>
    <w:rsid w:val="00A73D8B"/>
    <w:rsid w:val="00B01B06"/>
    <w:rsid w:val="00C760E3"/>
    <w:rsid w:val="00C95A24"/>
    <w:rsid w:val="00CD25D8"/>
    <w:rsid w:val="00D050D7"/>
    <w:rsid w:val="00D45BC9"/>
    <w:rsid w:val="00D877F4"/>
    <w:rsid w:val="00E43895"/>
    <w:rsid w:val="00E96532"/>
    <w:rsid w:val="00F21704"/>
    <w:rsid w:val="00FC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676E8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97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uiPriority w:val="99"/>
    <w:rsid w:val="00676E82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C97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2</cp:revision>
  <dcterms:created xsi:type="dcterms:W3CDTF">2016-01-15T11:05:00Z</dcterms:created>
  <dcterms:modified xsi:type="dcterms:W3CDTF">2016-01-15T11:05:00Z</dcterms:modified>
</cp:coreProperties>
</file>