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3B" w:rsidRDefault="00D0003B" w:rsidP="00D0003B">
      <w:pPr>
        <w:tabs>
          <w:tab w:val="center" w:pos="5040"/>
          <w:tab w:val="right" w:pos="9900"/>
        </w:tabs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2786380" cy="621030"/>
            <wp:effectExtent l="19050" t="0" r="0" b="0"/>
            <wp:docPr id="6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82" w:rsidRPr="00676E82" w:rsidRDefault="00676E82" w:rsidP="00676E82">
      <w:pPr>
        <w:tabs>
          <w:tab w:val="center" w:pos="5040"/>
          <w:tab w:val="right" w:pos="9900"/>
        </w:tabs>
        <w:jc w:val="center"/>
      </w:pPr>
      <w:r>
        <w:rPr>
          <w:rFonts w:ascii="Arial" w:hAnsi="Arial" w:cs="Arial"/>
          <w:b/>
          <w:sz w:val="28"/>
          <w:szCs w:val="28"/>
        </w:rPr>
        <w:t xml:space="preserve">NW Thames </w:t>
      </w:r>
      <w:r w:rsidRPr="002C3834">
        <w:rPr>
          <w:rFonts w:ascii="Arial" w:hAnsi="Arial" w:cs="Arial"/>
          <w:b/>
          <w:sz w:val="28"/>
          <w:szCs w:val="28"/>
        </w:rPr>
        <w:t>Foundation School</w:t>
      </w:r>
    </w:p>
    <w:p w:rsidR="00676E82" w:rsidRPr="002C3834" w:rsidRDefault="00676E82" w:rsidP="00676E8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Individual Placement</w:t>
      </w:r>
      <w:r w:rsidRPr="002C3834">
        <w:rPr>
          <w:rFonts w:ascii="Arial" w:hAnsi="Arial" w:cs="Arial"/>
          <w:b/>
          <w:sz w:val="28"/>
          <w:szCs w:val="28"/>
        </w:rPr>
        <w:t xml:space="preserve"> Description</w:t>
      </w:r>
    </w:p>
    <w:p w:rsidR="00676E82" w:rsidRDefault="00676E82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676E82" w:rsidRDefault="00676E82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37"/>
      </w:tblGrid>
      <w:tr w:rsidR="00676E82" w:rsidRPr="004F4EE0" w:rsidTr="003D7CD8">
        <w:trPr>
          <w:trHeight w:val="144"/>
        </w:trPr>
        <w:tc>
          <w:tcPr>
            <w:tcW w:w="2943" w:type="dxa"/>
          </w:tcPr>
          <w:p w:rsidR="00676E82" w:rsidRPr="004F4EE0" w:rsidRDefault="00676E82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6237" w:type="dxa"/>
          </w:tcPr>
          <w:p w:rsidR="00676E82" w:rsidRPr="00F909C5" w:rsidRDefault="003D7CD8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F2 Psychiatry: </w:t>
            </w:r>
            <w:r w:rsidR="002F3904">
              <w:rPr>
                <w:rFonts w:ascii="Arial" w:hAnsi="Arial" w:cs="Arial"/>
              </w:rPr>
              <w:t>South Kensington and Chelsea Home Treatment Team</w:t>
            </w:r>
          </w:p>
          <w:p w:rsidR="00676E82" w:rsidRPr="00F909C5" w:rsidRDefault="00676E82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3D7CD8">
        <w:trPr>
          <w:trHeight w:val="144"/>
        </w:trPr>
        <w:tc>
          <w:tcPr>
            <w:tcW w:w="2943" w:type="dxa"/>
          </w:tcPr>
          <w:p w:rsidR="00676E82" w:rsidRDefault="00676E82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6237" w:type="dxa"/>
          </w:tcPr>
          <w:p w:rsidR="003D7CD8" w:rsidRDefault="003D7CD8" w:rsidP="002F3904">
            <w:pPr>
              <w:rPr>
                <w:rFonts w:ascii="Arial" w:hAnsi="Arial"/>
                <w:color w:val="000000"/>
                <w:spacing w:val="-2"/>
              </w:rPr>
            </w:pPr>
            <w:r>
              <w:rPr>
                <w:rFonts w:ascii="Arial" w:hAnsi="Arial"/>
                <w:color w:val="000000"/>
                <w:spacing w:val="-2"/>
              </w:rPr>
              <w:t xml:space="preserve">The post is within a service covering South Kensington and Chelsea.  The population is approximately 100,000 and is a varied and interesting one comprising of great wealth and also social deprivation.  </w:t>
            </w:r>
          </w:p>
          <w:p w:rsidR="003D7CD8" w:rsidRDefault="003D7CD8" w:rsidP="002F3904">
            <w:pPr>
              <w:rPr>
                <w:rFonts w:ascii="Arial" w:hAnsi="Arial"/>
                <w:color w:val="000000"/>
                <w:spacing w:val="-2"/>
              </w:rPr>
            </w:pPr>
          </w:p>
          <w:p w:rsidR="00676E82" w:rsidRDefault="002F3904" w:rsidP="002F3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SKC H</w:t>
            </w:r>
            <w:r w:rsidR="003D7CD8">
              <w:rPr>
                <w:rFonts w:ascii="Arial" w:hAnsi="Arial" w:cs="Arial"/>
              </w:rPr>
              <w:t xml:space="preserve">ome </w:t>
            </w:r>
            <w:r>
              <w:rPr>
                <w:rFonts w:ascii="Arial" w:hAnsi="Arial" w:cs="Arial"/>
              </w:rPr>
              <w:t>T</w:t>
            </w:r>
            <w:r w:rsidR="003D7CD8">
              <w:rPr>
                <w:rFonts w:ascii="Arial" w:hAnsi="Arial" w:cs="Arial"/>
              </w:rPr>
              <w:t xml:space="preserve">reatment </w:t>
            </w:r>
            <w:r>
              <w:rPr>
                <w:rFonts w:ascii="Arial" w:hAnsi="Arial" w:cs="Arial"/>
              </w:rPr>
              <w:t>T</w:t>
            </w:r>
            <w:r w:rsidR="003D7CD8">
              <w:rPr>
                <w:rFonts w:ascii="Arial" w:hAnsi="Arial" w:cs="Arial"/>
              </w:rPr>
              <w:t>eam</w:t>
            </w:r>
            <w:r>
              <w:rPr>
                <w:rFonts w:ascii="Arial" w:hAnsi="Arial" w:cs="Arial"/>
              </w:rPr>
              <w:t xml:space="preserve"> is a multidisciplinary psychiatry team that offers a psychiatric ‘ward on wheels’ </w:t>
            </w:r>
            <w:proofErr w:type="spellStart"/>
            <w:r>
              <w:rPr>
                <w:rFonts w:ascii="Arial" w:hAnsi="Arial" w:cs="Arial"/>
              </w:rPr>
              <w:t>ie</w:t>
            </w:r>
            <w:proofErr w:type="spellEnd"/>
            <w:r>
              <w:rPr>
                <w:rFonts w:ascii="Arial" w:hAnsi="Arial" w:cs="Arial"/>
              </w:rPr>
              <w:t xml:space="preserve"> it provides home treatment as an alternative to hospital admission.  The team is involved in assessing patients with a </w:t>
            </w:r>
            <w:r w:rsidR="00902439">
              <w:rPr>
                <w:rFonts w:ascii="Arial" w:hAnsi="Arial" w:cs="Arial"/>
              </w:rPr>
              <w:t>diverse range</w:t>
            </w:r>
            <w:r>
              <w:rPr>
                <w:rFonts w:ascii="Arial" w:hAnsi="Arial" w:cs="Arial"/>
              </w:rPr>
              <w:t xml:space="preserve"> of acute psychiatric problems, and then providing treatment primarily in the patient’s home, or at the mental health centre.</w:t>
            </w:r>
          </w:p>
          <w:p w:rsidR="003D7CD8" w:rsidRDefault="003D7CD8" w:rsidP="002F3904">
            <w:pPr>
              <w:rPr>
                <w:rFonts w:ascii="Arial" w:hAnsi="Arial" w:cs="Arial"/>
              </w:rPr>
            </w:pPr>
          </w:p>
          <w:p w:rsidR="002F3904" w:rsidRDefault="00B662AA" w:rsidP="00C05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the team work with acutely ill patients, it offers frequent follow-up, with assessment of mental state and review of medication.  </w:t>
            </w:r>
            <w:r w:rsidR="002F3904">
              <w:rPr>
                <w:rFonts w:ascii="Arial" w:hAnsi="Arial" w:cs="Arial"/>
              </w:rPr>
              <w:t xml:space="preserve">The team comprises </w:t>
            </w:r>
            <w:r w:rsidR="00C05A52">
              <w:rPr>
                <w:rFonts w:ascii="Arial" w:hAnsi="Arial" w:cs="Arial"/>
              </w:rPr>
              <w:t>a manager, deputy manager and 10 band 6 nurses and 1 band 5 nurse</w:t>
            </w:r>
            <w:r w:rsidR="002F3904" w:rsidRPr="00F563C5">
              <w:rPr>
                <w:rFonts w:ascii="Arial" w:hAnsi="Arial" w:cs="Arial"/>
              </w:rPr>
              <w:t>,</w:t>
            </w:r>
            <w:r w:rsidR="002F3904">
              <w:rPr>
                <w:rFonts w:ascii="Arial" w:hAnsi="Arial" w:cs="Arial"/>
              </w:rPr>
              <w:t xml:space="preserve"> a part-time specialist registrar, a full time Vocational Tra</w:t>
            </w:r>
            <w:r w:rsidR="00ED6F09">
              <w:rPr>
                <w:rFonts w:ascii="Arial" w:hAnsi="Arial" w:cs="Arial"/>
              </w:rPr>
              <w:t xml:space="preserve">inee and a half time consultant (who is </w:t>
            </w:r>
            <w:r w:rsidR="00C114C6">
              <w:rPr>
                <w:rFonts w:ascii="Arial" w:hAnsi="Arial" w:cs="Arial"/>
              </w:rPr>
              <w:t xml:space="preserve">both a clinical supervisor and educational supervisor, and is </w:t>
            </w:r>
            <w:r w:rsidR="00ED6F09">
              <w:rPr>
                <w:rFonts w:ascii="Arial" w:hAnsi="Arial" w:cs="Arial"/>
              </w:rPr>
              <w:t xml:space="preserve">available for advice throughout the working week).  </w:t>
            </w:r>
            <w:r>
              <w:rPr>
                <w:rFonts w:ascii="Arial" w:hAnsi="Arial" w:cs="Arial"/>
              </w:rPr>
              <w:t>It has a strong ethos of independent multidisciplinary team working, teaching and support.</w:t>
            </w:r>
            <w:r w:rsidR="003D7CD8">
              <w:rPr>
                <w:rFonts w:ascii="Arial" w:hAnsi="Arial" w:cs="Arial"/>
              </w:rPr>
              <w:t xml:space="preserve"> </w:t>
            </w:r>
          </w:p>
          <w:p w:rsidR="003D7CD8" w:rsidRPr="00F909C5" w:rsidRDefault="003D7CD8" w:rsidP="00C05A52">
            <w:pPr>
              <w:rPr>
                <w:rFonts w:ascii="Arial" w:hAnsi="Arial" w:cs="Arial"/>
              </w:rPr>
            </w:pPr>
          </w:p>
        </w:tc>
      </w:tr>
      <w:tr w:rsidR="00330007" w:rsidRPr="004F4EE0" w:rsidTr="003D7CD8">
        <w:trPr>
          <w:trHeight w:val="144"/>
        </w:trPr>
        <w:tc>
          <w:tcPr>
            <w:tcW w:w="2943" w:type="dxa"/>
          </w:tcPr>
          <w:p w:rsidR="00330007" w:rsidRPr="004F4EE0" w:rsidRDefault="00330007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6237" w:type="dxa"/>
          </w:tcPr>
          <w:p w:rsidR="00330007" w:rsidRDefault="002F3904" w:rsidP="003D7C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CNWL South Kensington and Chelsea Mental Health Centre</w:t>
            </w:r>
            <w:r w:rsidR="00B662AA">
              <w:rPr>
                <w:rFonts w:ascii="Arial" w:hAnsi="Arial" w:cs="Arial"/>
              </w:rPr>
              <w:t>,</w:t>
            </w:r>
            <w:r w:rsidR="003D7CD8">
              <w:rPr>
                <w:rFonts w:ascii="Arial" w:hAnsi="Arial" w:cs="Arial"/>
              </w:rPr>
              <w:t xml:space="preserve">  </w:t>
            </w:r>
            <w:r w:rsidR="00B662AA">
              <w:rPr>
                <w:rFonts w:ascii="Arial" w:hAnsi="Arial" w:cs="Arial"/>
              </w:rPr>
              <w:t>1 Nightingale Place</w:t>
            </w:r>
            <w:r w:rsidR="003D7CD8">
              <w:rPr>
                <w:rFonts w:ascii="Arial" w:hAnsi="Arial" w:cs="Arial"/>
              </w:rPr>
              <w:t xml:space="preserve">, </w:t>
            </w:r>
            <w:r w:rsidR="00B662AA">
              <w:rPr>
                <w:rFonts w:ascii="Arial" w:hAnsi="Arial" w:cs="Arial"/>
              </w:rPr>
              <w:t>London SW1</w:t>
            </w:r>
            <w:r w:rsidR="003D7CD8">
              <w:rPr>
                <w:rFonts w:ascii="Arial" w:hAnsi="Arial" w:cs="Arial"/>
              </w:rPr>
              <w:t>0</w:t>
            </w:r>
            <w:r w:rsidR="00B662AA">
              <w:rPr>
                <w:rFonts w:ascii="Arial" w:hAnsi="Arial" w:cs="Arial"/>
              </w:rPr>
              <w:t xml:space="preserve"> 9NG</w:t>
            </w:r>
          </w:p>
          <w:p w:rsidR="003D7CD8" w:rsidRPr="00F909C5" w:rsidRDefault="003D7CD8" w:rsidP="003D7CD8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3D7CD8">
        <w:trPr>
          <w:trHeight w:val="144"/>
        </w:trPr>
        <w:tc>
          <w:tcPr>
            <w:tcW w:w="2943" w:type="dxa"/>
          </w:tcPr>
          <w:p w:rsidR="00676E82" w:rsidRPr="00047073" w:rsidRDefault="00676E82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6237" w:type="dxa"/>
          </w:tcPr>
          <w:p w:rsidR="00676E82" w:rsidRDefault="00B662AA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work is conducted with a multidisciplinary team member.  The team take</w:t>
            </w:r>
            <w:r w:rsidR="003D7CD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 bio-psycho-social approach to resolving acute mental health crises.  The trainee will therefore have the opportunity to learn not just the fundamentals of psychiatric prescribing, but also a wide range of social interventions and the basis of assessment for referral for psychotherapy.  </w:t>
            </w:r>
            <w:r w:rsidR="00902439">
              <w:rPr>
                <w:rFonts w:ascii="Arial" w:hAnsi="Arial" w:cs="Arial"/>
              </w:rPr>
              <w:t xml:space="preserve">Home visits and family work is standard, allowing the trainee to develop an understanding of social factors influencing psychiatric illness.  The trainee will also contribute to </w:t>
            </w:r>
            <w:r>
              <w:rPr>
                <w:rFonts w:ascii="Arial" w:hAnsi="Arial" w:cs="Arial"/>
              </w:rPr>
              <w:t>liaison with a wide range of other psychiatric teams and departments, including A&amp;E and general medical teams.</w:t>
            </w:r>
            <w:r w:rsidR="00902439">
              <w:rPr>
                <w:rFonts w:ascii="Arial" w:hAnsi="Arial" w:cs="Arial"/>
              </w:rPr>
              <w:t xml:space="preserve">  </w:t>
            </w:r>
          </w:p>
          <w:p w:rsidR="00330007" w:rsidRDefault="00330007" w:rsidP="00434404">
            <w:pPr>
              <w:rPr>
                <w:rFonts w:ascii="Arial" w:hAnsi="Arial" w:cs="Arial"/>
              </w:rPr>
            </w:pPr>
          </w:p>
          <w:p w:rsidR="002F3904" w:rsidRPr="003D7CD8" w:rsidRDefault="002F3904" w:rsidP="002F3904">
            <w:p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lastRenderedPageBreak/>
              <w:t>The overall educational objectives of the F</w:t>
            </w:r>
            <w:r w:rsidR="003D7CD8">
              <w:rPr>
                <w:rFonts w:ascii="Arial" w:hAnsi="Arial" w:cs="Arial"/>
              </w:rPr>
              <w:t>2</w:t>
            </w:r>
            <w:r w:rsidRPr="003D7CD8">
              <w:rPr>
                <w:rFonts w:ascii="Arial" w:hAnsi="Arial" w:cs="Arial"/>
              </w:rPr>
              <w:t xml:space="preserve"> year are to provide the trainee with the knowledge, skills and attitudes to be able to </w:t>
            </w:r>
          </w:p>
          <w:p w:rsidR="002F3904" w:rsidRPr="003D7CD8" w:rsidRDefault="002F3904" w:rsidP="002F390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 xml:space="preserve">Take a </w:t>
            </w:r>
            <w:r w:rsidR="00B662AA" w:rsidRPr="003D7CD8">
              <w:rPr>
                <w:rFonts w:ascii="Arial" w:hAnsi="Arial" w:cs="Arial"/>
              </w:rPr>
              <w:t xml:space="preserve">psychiatric </w:t>
            </w:r>
            <w:r w:rsidRPr="003D7CD8">
              <w:rPr>
                <w:rFonts w:ascii="Arial" w:hAnsi="Arial" w:cs="Arial"/>
              </w:rPr>
              <w:t xml:space="preserve">history and </w:t>
            </w:r>
            <w:r w:rsidR="00B662AA" w:rsidRPr="003D7CD8">
              <w:rPr>
                <w:rFonts w:ascii="Arial" w:hAnsi="Arial" w:cs="Arial"/>
              </w:rPr>
              <w:t>perform a mental state examination</w:t>
            </w:r>
          </w:p>
          <w:p w:rsidR="00B662AA" w:rsidRPr="003D7CD8" w:rsidRDefault="00B662AA" w:rsidP="002F390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>Perform a physical examination and order investigations, appropriate to patients with mental health problems</w:t>
            </w:r>
          </w:p>
          <w:p w:rsidR="002F3904" w:rsidRPr="003D7CD8" w:rsidRDefault="002F3904" w:rsidP="002F39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>Identify and synthesise problems</w:t>
            </w:r>
          </w:p>
          <w:p w:rsidR="002F3904" w:rsidRPr="003D7CD8" w:rsidRDefault="002F3904" w:rsidP="002F39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>Prescribe safely</w:t>
            </w:r>
          </w:p>
          <w:p w:rsidR="002F3904" w:rsidRPr="003D7CD8" w:rsidRDefault="002F3904" w:rsidP="002F39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 xml:space="preserve">Keep an accurate and relevant medical record </w:t>
            </w:r>
          </w:p>
          <w:p w:rsidR="002F3904" w:rsidRPr="003D7CD8" w:rsidRDefault="002F3904" w:rsidP="002F39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>Manage time and clinical priorities effectively</w:t>
            </w:r>
          </w:p>
          <w:p w:rsidR="002F3904" w:rsidRPr="003D7CD8" w:rsidRDefault="002F3904" w:rsidP="002F39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>Communicate effectively with patients, relatives and colleagues</w:t>
            </w:r>
          </w:p>
          <w:p w:rsidR="002F3904" w:rsidRPr="003D7CD8" w:rsidRDefault="002F3904" w:rsidP="002F39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>Use evidence, guidelines and audit to benefit patient care</w:t>
            </w:r>
          </w:p>
          <w:p w:rsidR="002F3904" w:rsidRPr="003D7CD8" w:rsidRDefault="002F3904" w:rsidP="002F39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>Act in a professional manner at all times</w:t>
            </w:r>
          </w:p>
          <w:p w:rsidR="002F3904" w:rsidRPr="003D7CD8" w:rsidRDefault="002F3904" w:rsidP="002F39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>Cope with ethical and legal issues which occur during the management of patients with general medical problems</w:t>
            </w:r>
          </w:p>
          <w:p w:rsidR="002F3904" w:rsidRPr="003D7CD8" w:rsidRDefault="002F3904" w:rsidP="002F39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>Educate patients effectively</w:t>
            </w:r>
          </w:p>
          <w:p w:rsidR="00330007" w:rsidRPr="003D7CD8" w:rsidRDefault="002F3904" w:rsidP="00B662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>Become life-long learners and teachers.</w:t>
            </w:r>
          </w:p>
          <w:p w:rsidR="00676E82" w:rsidRPr="00F909C5" w:rsidRDefault="00676E82" w:rsidP="00434404">
            <w:pPr>
              <w:rPr>
                <w:rFonts w:ascii="Arial" w:hAnsi="Arial" w:cs="Arial"/>
              </w:rPr>
            </w:pPr>
          </w:p>
        </w:tc>
      </w:tr>
      <w:tr w:rsidR="00676E82" w:rsidRPr="004F4EE0" w:rsidTr="003D7CD8">
        <w:trPr>
          <w:trHeight w:val="144"/>
        </w:trPr>
        <w:tc>
          <w:tcPr>
            <w:tcW w:w="2943" w:type="dxa"/>
          </w:tcPr>
          <w:p w:rsidR="00676E82" w:rsidRDefault="00676E82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Clinical Supervisor(s) for the placement</w:t>
            </w:r>
          </w:p>
        </w:tc>
        <w:tc>
          <w:tcPr>
            <w:tcW w:w="6237" w:type="dxa"/>
          </w:tcPr>
          <w:p w:rsidR="00676E82" w:rsidRPr="003D7CD8" w:rsidRDefault="002F3904" w:rsidP="00434404">
            <w:pPr>
              <w:jc w:val="both"/>
              <w:rPr>
                <w:rFonts w:ascii="Arial" w:hAnsi="Arial" w:cs="Arial"/>
              </w:rPr>
            </w:pPr>
            <w:r w:rsidRPr="003D7CD8">
              <w:rPr>
                <w:rFonts w:ascii="Arial" w:hAnsi="Arial" w:cs="Arial"/>
              </w:rPr>
              <w:t xml:space="preserve">Dr </w:t>
            </w:r>
            <w:r w:rsidR="00F563C5" w:rsidRPr="003D7CD8">
              <w:rPr>
                <w:rFonts w:ascii="Arial" w:hAnsi="Arial" w:cs="Arial"/>
              </w:rPr>
              <w:t xml:space="preserve">Frances </w:t>
            </w:r>
            <w:r w:rsidRPr="003D7CD8">
              <w:rPr>
                <w:rFonts w:ascii="Arial" w:hAnsi="Arial" w:cs="Arial"/>
              </w:rPr>
              <w:t>Klemperer</w:t>
            </w:r>
          </w:p>
          <w:p w:rsidR="00676E82" w:rsidRPr="00F909C5" w:rsidRDefault="00676E82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3D7CD8">
        <w:trPr>
          <w:trHeight w:val="144"/>
        </w:trPr>
        <w:tc>
          <w:tcPr>
            <w:tcW w:w="2943" w:type="dxa"/>
          </w:tcPr>
          <w:p w:rsidR="00676E82" w:rsidRDefault="00676E82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6237" w:type="dxa"/>
          </w:tcPr>
          <w:p w:rsidR="00676E82" w:rsidRDefault="00902439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Contributing to multidisciplinary assessment and treatment of psychiatric patients, including prescribing.</w:t>
            </w:r>
          </w:p>
          <w:p w:rsidR="00902439" w:rsidRDefault="00902439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Keeping medical records and communicating with GPs, other psychiatric and general medical teams as appropriate</w:t>
            </w:r>
          </w:p>
          <w:p w:rsidR="00902439" w:rsidRDefault="00902439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examination of patients and ordering of investigations, in conjunction with the Vocational Scheme Trainee</w:t>
            </w:r>
          </w:p>
          <w:p w:rsidR="00902439" w:rsidRDefault="00902439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will have the opportunity to work with the consultant and specialist registrar on home visits and in clinic at least 2 days per week.</w:t>
            </w:r>
          </w:p>
          <w:p w:rsidR="00902439" w:rsidRPr="00F909C5" w:rsidRDefault="00902439" w:rsidP="00434404">
            <w:pPr>
              <w:jc w:val="both"/>
              <w:rPr>
                <w:rFonts w:ascii="Arial" w:hAnsi="Arial" w:cs="Arial"/>
              </w:rPr>
            </w:pPr>
            <w:r w:rsidRPr="00902439">
              <w:rPr>
                <w:rFonts w:ascii="Arial" w:hAnsi="Arial" w:cs="Arial"/>
              </w:rPr>
              <w:t xml:space="preserve">They are expected to attend the structured teaching programmes provided by the department. </w:t>
            </w:r>
          </w:p>
          <w:p w:rsidR="00676E82" w:rsidRDefault="00902439" w:rsidP="00434404">
            <w:pPr>
              <w:jc w:val="both"/>
              <w:rPr>
                <w:rFonts w:ascii="Arial" w:hAnsi="Arial" w:cs="Arial"/>
              </w:rPr>
            </w:pPr>
            <w:r w:rsidRPr="00902439">
              <w:rPr>
                <w:rFonts w:ascii="Arial" w:hAnsi="Arial" w:cs="Arial"/>
              </w:rPr>
              <w:t>The doctor will be responsible for such other specific clinical duties as allocated by consultants including performing other duties in occasional emergencies and unforeseen circumstances</w:t>
            </w:r>
            <w:r>
              <w:rPr>
                <w:rFonts w:ascii="Arial" w:hAnsi="Arial" w:cs="Arial"/>
              </w:rPr>
              <w:t>.</w:t>
            </w:r>
          </w:p>
          <w:p w:rsidR="00330007" w:rsidRPr="00F909C5" w:rsidRDefault="00330007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3D7CD8">
        <w:trPr>
          <w:trHeight w:val="144"/>
        </w:trPr>
        <w:tc>
          <w:tcPr>
            <w:tcW w:w="2943" w:type="dxa"/>
          </w:tcPr>
          <w:p w:rsidR="00676E82" w:rsidRDefault="00676E82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6237" w:type="dxa"/>
          </w:tcPr>
          <w:p w:rsidR="00902439" w:rsidRDefault="00902439" w:rsidP="00434404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9"/>
              <w:gridCol w:w="1699"/>
              <w:gridCol w:w="1700"/>
            </w:tblGrid>
            <w:tr w:rsidR="00C62C17" w:rsidTr="00C62C17"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AM</w:t>
                  </w:r>
                </w:p>
              </w:tc>
              <w:tc>
                <w:tcPr>
                  <w:tcW w:w="1700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PM</w:t>
                  </w:r>
                </w:p>
              </w:tc>
            </w:tr>
            <w:tr w:rsidR="00C62C17" w:rsidTr="00C62C17"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New patient assessment / follow-ups</w:t>
                  </w:r>
                </w:p>
              </w:tc>
              <w:tc>
                <w:tcPr>
                  <w:tcW w:w="1700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MDT meeting</w:t>
                  </w:r>
                </w:p>
              </w:tc>
            </w:tr>
            <w:tr w:rsidR="00C62C17" w:rsidTr="00C62C17"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Team handover and follow-ups</w:t>
                  </w:r>
                </w:p>
              </w:tc>
              <w:tc>
                <w:tcPr>
                  <w:tcW w:w="1700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Follow-ups</w:t>
                  </w:r>
                </w:p>
              </w:tc>
            </w:tr>
            <w:tr w:rsidR="00C62C17" w:rsidTr="00C62C17"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Follow-ups</w:t>
                  </w:r>
                </w:p>
              </w:tc>
              <w:tc>
                <w:tcPr>
                  <w:tcW w:w="1700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Local </w:t>
                  </w:r>
                  <w:r>
                    <w:rPr>
                      <w:rFonts w:ascii="Arial" w:hAnsi="Arial" w:cs="Arial"/>
                    </w:rPr>
                    <w:lastRenderedPageBreak/>
                    <w:t>academic programme / Balint group</w:t>
                  </w:r>
                </w:p>
              </w:tc>
            </w:tr>
            <w:tr w:rsidR="00C62C17" w:rsidTr="00C62C17"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Thu</w:t>
                  </w:r>
                </w:p>
              </w:tc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Local acute trust teaching (C&amp;WH)</w:t>
                  </w:r>
                </w:p>
              </w:tc>
              <w:tc>
                <w:tcPr>
                  <w:tcW w:w="1700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Team handover / follow-ups</w:t>
                  </w:r>
                </w:p>
              </w:tc>
            </w:tr>
            <w:tr w:rsidR="00C62C17" w:rsidTr="00C62C17"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Fri</w:t>
                  </w:r>
                </w:p>
              </w:tc>
              <w:tc>
                <w:tcPr>
                  <w:tcW w:w="1699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New assessments</w:t>
                  </w:r>
                </w:p>
              </w:tc>
              <w:tc>
                <w:tcPr>
                  <w:tcW w:w="1700" w:type="dxa"/>
                </w:tcPr>
                <w:p w:rsidR="00C62C17" w:rsidRDefault="00C62C17" w:rsidP="0043440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Follow-ups</w:t>
                  </w:r>
                </w:p>
              </w:tc>
            </w:tr>
          </w:tbl>
          <w:p w:rsidR="00676E82" w:rsidRPr="00046563" w:rsidRDefault="00676E82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3D7CD8" w:rsidRDefault="003D7CD8" w:rsidP="003D7C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no on call commitments in this placement.</w:t>
            </w:r>
          </w:p>
          <w:p w:rsidR="00676E82" w:rsidRPr="00F909C5" w:rsidRDefault="00676E82" w:rsidP="00434404">
            <w:pPr>
              <w:rPr>
                <w:rFonts w:ascii="Arial" w:hAnsi="Arial" w:cs="Arial"/>
              </w:rPr>
            </w:pPr>
          </w:p>
        </w:tc>
      </w:tr>
      <w:tr w:rsidR="00676E82" w:rsidRPr="004F4EE0" w:rsidTr="003D7CD8">
        <w:trPr>
          <w:trHeight w:val="144"/>
        </w:trPr>
        <w:tc>
          <w:tcPr>
            <w:tcW w:w="2943" w:type="dxa"/>
          </w:tcPr>
          <w:p w:rsidR="00676E82" w:rsidRPr="00C70B03" w:rsidRDefault="00676E82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Employer information</w:t>
            </w:r>
          </w:p>
        </w:tc>
        <w:tc>
          <w:tcPr>
            <w:tcW w:w="6237" w:type="dxa"/>
          </w:tcPr>
          <w:p w:rsidR="003D7CD8" w:rsidRDefault="003D7CD8" w:rsidP="003D7C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trainee will remain an employee of Chelsea &amp; Westminster Hospital NHS Trust while in this placement but will have an honorary contract with CNWL.</w:t>
            </w:r>
          </w:p>
          <w:p w:rsidR="00676E82" w:rsidRPr="00F909C5" w:rsidRDefault="00676E82" w:rsidP="003D7CD8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</w:tr>
    </w:tbl>
    <w:p w:rsidR="00676E82" w:rsidRDefault="00676E82" w:rsidP="00676E82">
      <w:pPr>
        <w:rPr>
          <w:rFonts w:ascii="Arial" w:hAnsi="Arial" w:cs="Arial"/>
          <w:sz w:val="22"/>
          <w:szCs w:val="22"/>
        </w:rPr>
      </w:pPr>
    </w:p>
    <w:p w:rsidR="00676E82" w:rsidRPr="000127C0" w:rsidRDefault="00676E82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676E82" w:rsidRPr="000127C0" w:rsidRDefault="00676E82" w:rsidP="00676E82">
      <w:pPr>
        <w:rPr>
          <w:rFonts w:ascii="Arial" w:hAnsi="Arial" w:cs="Arial"/>
          <w:sz w:val="22"/>
          <w:szCs w:val="22"/>
        </w:rPr>
      </w:pPr>
    </w:p>
    <w:p w:rsidR="00676E82" w:rsidRPr="000127C0" w:rsidRDefault="00676E82" w:rsidP="003D7CD8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4F65B6" w:rsidRDefault="004F65B6"/>
    <w:sectPr w:rsidR="004F65B6" w:rsidSect="00367D2F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CE52BC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167CB5"/>
    <w:rsid w:val="002F3904"/>
    <w:rsid w:val="00330007"/>
    <w:rsid w:val="00367D2F"/>
    <w:rsid w:val="003D7CD8"/>
    <w:rsid w:val="003E1803"/>
    <w:rsid w:val="00411D72"/>
    <w:rsid w:val="00447EB6"/>
    <w:rsid w:val="004F65B6"/>
    <w:rsid w:val="00676E82"/>
    <w:rsid w:val="00803A92"/>
    <w:rsid w:val="00876A8C"/>
    <w:rsid w:val="00902439"/>
    <w:rsid w:val="00A05FE1"/>
    <w:rsid w:val="00AC148F"/>
    <w:rsid w:val="00B662AA"/>
    <w:rsid w:val="00C05A52"/>
    <w:rsid w:val="00C114C6"/>
    <w:rsid w:val="00C62C17"/>
    <w:rsid w:val="00D0003B"/>
    <w:rsid w:val="00EB3B07"/>
    <w:rsid w:val="00ED6F09"/>
    <w:rsid w:val="00F26ED7"/>
    <w:rsid w:val="00F563C5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76E8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3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662AA"/>
    <w:pPr>
      <w:ind w:left="720"/>
      <w:contextualSpacing/>
    </w:pPr>
  </w:style>
  <w:style w:type="table" w:styleId="TableGrid">
    <w:name w:val="Table Grid"/>
    <w:basedOn w:val="TableNormal"/>
    <w:uiPriority w:val="59"/>
    <w:rsid w:val="00C6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76E8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3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662AA"/>
    <w:pPr>
      <w:ind w:left="720"/>
      <w:contextualSpacing/>
    </w:pPr>
  </w:style>
  <w:style w:type="table" w:styleId="TableGrid">
    <w:name w:val="Table Grid"/>
    <w:basedOn w:val="TableNormal"/>
    <w:uiPriority w:val="59"/>
    <w:rsid w:val="00C6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pshallar</dc:creator>
  <cp:lastModifiedBy>Ferres, Jonathan</cp:lastModifiedBy>
  <cp:revision>2</cp:revision>
  <dcterms:created xsi:type="dcterms:W3CDTF">2016-10-05T09:04:00Z</dcterms:created>
  <dcterms:modified xsi:type="dcterms:W3CDTF">2016-10-05T09:04:00Z</dcterms:modified>
</cp:coreProperties>
</file>