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880D4" w14:textId="4481905C" w:rsidR="00B27570" w:rsidRPr="00D8046E" w:rsidRDefault="00BA03E6" w:rsidP="00D8046E">
      <w:pPr>
        <w:pStyle w:val="Heading1"/>
      </w:pPr>
      <w:r w:rsidRPr="00D8046E">
        <w:t>Improving our Service in the event of another healthcare disruption</w:t>
      </w:r>
    </w:p>
    <w:p w14:paraId="69C56F07" w14:textId="4DD4E18F" w:rsidR="006D3BBE" w:rsidRDefault="006D3BBE">
      <w:r w:rsidRPr="006D3BBE">
        <w:t xml:space="preserve">Between July 23 and </w:t>
      </w:r>
      <w:r w:rsidR="005F2AA6" w:rsidRPr="006D3BBE">
        <w:t>March</w:t>
      </w:r>
      <w:r w:rsidR="005F2AA6">
        <w:t xml:space="preserve"> </w:t>
      </w:r>
      <w:r w:rsidR="005F2AA6" w:rsidRPr="006D3BBE">
        <w:t>24,</w:t>
      </w:r>
      <w:r w:rsidRPr="006D3BBE">
        <w:t xml:space="preserve"> we </w:t>
      </w:r>
      <w:r w:rsidR="00216E6F" w:rsidRPr="006D3BBE">
        <w:t>conducted</w:t>
      </w:r>
      <w:r w:rsidRPr="006D3BBE">
        <w:t xml:space="preserve"> a survey of people accessing our HIV services to ask how the Covid19 pandemic, and the</w:t>
      </w:r>
      <w:bookmarkStart w:id="0" w:name="_GoBack"/>
      <w:bookmarkEnd w:id="0"/>
      <w:r w:rsidRPr="006D3BBE">
        <w:t xml:space="preserve"> restrictions to our services</w:t>
      </w:r>
      <w:r w:rsidR="009464AB">
        <w:t>,</w:t>
      </w:r>
      <w:r w:rsidRPr="006D3BBE">
        <w:t xml:space="preserve"> had affected them.</w:t>
      </w:r>
      <w:r w:rsidR="00F4192C">
        <w:t xml:space="preserve"> </w:t>
      </w:r>
      <w:r w:rsidR="00A81BB3">
        <w:t>One hundred people responded to our survey.</w:t>
      </w:r>
      <w:r w:rsidR="00297A87">
        <w:t xml:space="preserve"> They were mostly </w:t>
      </w:r>
      <w:r w:rsidR="005E5EA9">
        <w:t>male (90%)</w:t>
      </w:r>
      <w:r w:rsidR="00E62BEE">
        <w:t xml:space="preserve"> and two thirds (</w:t>
      </w:r>
      <w:r w:rsidR="000A2762">
        <w:t>70</w:t>
      </w:r>
      <w:r w:rsidR="00951E74">
        <w:t>%) were white.</w:t>
      </w:r>
      <w:r w:rsidR="002D1504">
        <w:t xml:space="preserve"> The majority</w:t>
      </w:r>
      <w:r w:rsidR="002D4739">
        <w:t xml:space="preserve"> (82%)</w:t>
      </w:r>
      <w:r w:rsidR="00927740">
        <w:t xml:space="preserve"> </w:t>
      </w:r>
      <w:r w:rsidR="002D1504">
        <w:t>were aged between 41 years old and 70 years</w:t>
      </w:r>
      <w:r w:rsidR="002D4739">
        <w:t xml:space="preserve">. </w:t>
      </w:r>
    </w:p>
    <w:p w14:paraId="2DF7663A" w14:textId="77777777" w:rsidR="0055002B" w:rsidRPr="0055002B" w:rsidRDefault="0055002B" w:rsidP="00D8046E">
      <w:pPr>
        <w:pStyle w:val="Heading3"/>
      </w:pPr>
      <w:r w:rsidRPr="0055002B">
        <w:t>Covid19</w:t>
      </w:r>
    </w:p>
    <w:p w14:paraId="0EEA37B9" w14:textId="4EB3AE59" w:rsidR="004070EA" w:rsidRDefault="001930D2">
      <w:r>
        <w:t>Sixty-five percent</w:t>
      </w:r>
      <w:r w:rsidR="004070EA">
        <w:t xml:space="preserve"> of our respondents told us they had had Covid19</w:t>
      </w:r>
      <w:r w:rsidR="00C63286">
        <w:t>.</w:t>
      </w:r>
    </w:p>
    <w:p w14:paraId="7A51483B" w14:textId="68408827" w:rsidR="0055002B" w:rsidRDefault="00793F73">
      <w:r>
        <w:t xml:space="preserve">One third of people told us that the Covid pandemic has brought up memories of illness (33%) and </w:t>
      </w:r>
      <w:r w:rsidR="00F9702D">
        <w:t>stigma</w:t>
      </w:r>
      <w:r w:rsidR="009464AB">
        <w:t xml:space="preserve"> </w:t>
      </w:r>
      <w:r>
        <w:t>(</w:t>
      </w:r>
      <w:r w:rsidR="00F9702D">
        <w:t>28%) associated with the earlier HIV pandemic.</w:t>
      </w:r>
    </w:p>
    <w:p w14:paraId="0346548D" w14:textId="6172CC9F" w:rsidR="00C63286" w:rsidRPr="00433618" w:rsidRDefault="00433618" w:rsidP="00D8046E">
      <w:pPr>
        <w:pStyle w:val="Heading3"/>
      </w:pPr>
      <w:r w:rsidRPr="00433618">
        <w:t>Effect of Pandemic disruption on HIV services</w:t>
      </w:r>
    </w:p>
    <w:p w14:paraId="1B9C62E8" w14:textId="78E926B7" w:rsidR="0049553B" w:rsidRDefault="00AD5F6C">
      <w:r>
        <w:t xml:space="preserve">One third </w:t>
      </w:r>
      <w:r w:rsidR="00D557E2">
        <w:t>(</w:t>
      </w:r>
      <w:r>
        <w:t>38%</w:t>
      </w:r>
      <w:r w:rsidR="00D557E2">
        <w:t>)</w:t>
      </w:r>
      <w:r>
        <w:t xml:space="preserve"> of our respondents reported </w:t>
      </w:r>
      <w:r w:rsidR="00D557E2">
        <w:t xml:space="preserve">worsened access to HIV </w:t>
      </w:r>
      <w:r w:rsidR="00503194">
        <w:t>treatment</w:t>
      </w:r>
      <w:r w:rsidR="00D557E2">
        <w:t xml:space="preserve"> during the pandemic and a quarter (25%) told us that their HIV health had worsened during that time</w:t>
      </w:r>
      <w:r w:rsidR="00503194">
        <w:t xml:space="preserve">. </w:t>
      </w:r>
      <w:r w:rsidR="00C07F7F">
        <w:t>One third (29%) of respondents told us they had missed one or more HIV appointments during the pandemic</w:t>
      </w:r>
      <w:r w:rsidR="008F2703">
        <w:t>.</w:t>
      </w:r>
    </w:p>
    <w:p w14:paraId="5085E63F" w14:textId="377E0B21" w:rsidR="00685A30" w:rsidRDefault="00685A30">
      <w:r>
        <w:t>Women, those experiencing depression</w:t>
      </w:r>
      <w:r w:rsidR="002832A3">
        <w:t>,</w:t>
      </w:r>
      <w:r>
        <w:t xml:space="preserve"> and people who lived further form the clinic were more likely to report missing</w:t>
      </w:r>
      <w:r w:rsidR="002832A3">
        <w:t xml:space="preserve"> </w:t>
      </w:r>
      <w:r>
        <w:t>appointments</w:t>
      </w:r>
      <w:r w:rsidR="006E65B2">
        <w:t>.</w:t>
      </w:r>
    </w:p>
    <w:p w14:paraId="6ACF4DB1" w14:textId="318B6B4C" w:rsidR="006E65B2" w:rsidRDefault="006E65B2">
      <w:r>
        <w:t>Those who report</w:t>
      </w:r>
      <w:r w:rsidR="004B66BA">
        <w:t>ed</w:t>
      </w:r>
      <w:r>
        <w:t xml:space="preserve"> missed appointments</w:t>
      </w:r>
      <w:r w:rsidR="004B66BA">
        <w:t xml:space="preserve"> were more likely to report worsened HIV-related health</w:t>
      </w:r>
      <w:r w:rsidR="00DA0CF6">
        <w:t xml:space="preserve">, worsened access to HIV treatment and </w:t>
      </w:r>
      <w:r w:rsidR="00826121">
        <w:t>worsen</w:t>
      </w:r>
      <w:r w:rsidR="00D8046E">
        <w:t>ed</w:t>
      </w:r>
      <w:r w:rsidR="00826121">
        <w:t xml:space="preserve"> HIV care.</w:t>
      </w:r>
    </w:p>
    <w:p w14:paraId="6134F1C1" w14:textId="006BA2AE" w:rsidR="008F2703" w:rsidRDefault="008F2703">
      <w:r>
        <w:t>Three quarters (75%) of our respondents had attended telephone appointment</w:t>
      </w:r>
      <w:r w:rsidR="00CC02D7">
        <w:t>s and 4% had attended video appointments</w:t>
      </w:r>
      <w:r w:rsidR="00212BAE">
        <w:t xml:space="preserve"> during service restrictions</w:t>
      </w:r>
      <w:r w:rsidR="00CC02D7">
        <w:t>. One third had attended a face-to-face (32</w:t>
      </w:r>
      <w:r w:rsidR="00CB110D">
        <w:t>%)</w:t>
      </w:r>
      <w:r w:rsidR="00CC02D7">
        <w:t xml:space="preserve"> or</w:t>
      </w:r>
      <w:r w:rsidR="00CB110D">
        <w:t xml:space="preserve"> blood test (29%) appointment.</w:t>
      </w:r>
    </w:p>
    <w:p w14:paraId="47121912" w14:textId="5BBA4103" w:rsidR="0049553B" w:rsidRDefault="002F3A26" w:rsidP="00D8046E">
      <w:pPr>
        <w:pStyle w:val="Heading3"/>
      </w:pPr>
      <w:r w:rsidRPr="00D9738E">
        <w:t xml:space="preserve">Information </w:t>
      </w:r>
      <w:r w:rsidR="00D9738E" w:rsidRPr="00D9738E">
        <w:t>Access</w:t>
      </w:r>
      <w:r w:rsidRPr="00D9738E">
        <w:t xml:space="preserve"> and IT </w:t>
      </w:r>
      <w:r w:rsidR="00D9738E" w:rsidRPr="00D9738E">
        <w:t>availability</w:t>
      </w:r>
    </w:p>
    <w:p w14:paraId="6F1C9A68" w14:textId="6A44A76E" w:rsidR="00D9738E" w:rsidRDefault="008E61DC">
      <w:r w:rsidRPr="00E30023">
        <w:t xml:space="preserve">One quarter of our </w:t>
      </w:r>
      <w:r w:rsidR="00E30023" w:rsidRPr="00E30023">
        <w:t>respondents (28%)</w:t>
      </w:r>
      <w:r w:rsidR="007074F3">
        <w:t xml:space="preserve"> </w:t>
      </w:r>
      <w:r w:rsidR="00212BAE">
        <w:t>told us they had</w:t>
      </w:r>
      <w:r w:rsidRPr="00E30023">
        <w:t xml:space="preserve"> faced difficulties accessing the information they needed</w:t>
      </w:r>
      <w:r w:rsidR="00E30023">
        <w:t xml:space="preserve"> during </w:t>
      </w:r>
      <w:r w:rsidR="009770BF">
        <w:t>th</w:t>
      </w:r>
      <w:r w:rsidR="00317B33">
        <w:t>e pandemic</w:t>
      </w:r>
      <w:r w:rsidR="009770BF">
        <w:t xml:space="preserve"> and smaller numbers reported difficulties with </w:t>
      </w:r>
      <w:r w:rsidR="00F10FB9">
        <w:t>knowing how to use IT systems or equipment (18%), with privac</w:t>
      </w:r>
      <w:r w:rsidR="00C710BE">
        <w:t>y (15%) and with the cost of data (12%).</w:t>
      </w:r>
      <w:r w:rsidR="00312B05">
        <w:t xml:space="preserve"> </w:t>
      </w:r>
      <w:r w:rsidR="00D410CC">
        <w:t>IT difficulties were not related to age except for issues with privacy, which affected younger people but were not reported by any respondents over the age of 65 years.</w:t>
      </w:r>
    </w:p>
    <w:p w14:paraId="0FFC1C72" w14:textId="4E628AA8" w:rsidR="00473020" w:rsidRPr="00E30023" w:rsidRDefault="00473020">
      <w:r>
        <w:t xml:space="preserve">Receiving welfare support was strongly associated with reporting </w:t>
      </w:r>
      <w:r w:rsidR="00740E83">
        <w:t>difficulty with accessing information during the pandemic</w:t>
      </w:r>
      <w:r w:rsidR="00826121">
        <w:t>.</w:t>
      </w:r>
    </w:p>
    <w:p w14:paraId="2FE2DBAD" w14:textId="41362105" w:rsidR="0049553B" w:rsidRPr="0049553B" w:rsidRDefault="0049553B" w:rsidP="00D8046E">
      <w:pPr>
        <w:pStyle w:val="Heading3"/>
      </w:pPr>
      <w:r w:rsidRPr="0049553B">
        <w:lastRenderedPageBreak/>
        <w:t>Mental health</w:t>
      </w:r>
      <w:r w:rsidR="00CB110D">
        <w:t xml:space="preserve"> &amp; Social Support</w:t>
      </w:r>
    </w:p>
    <w:p w14:paraId="64C1B735" w14:textId="4BEDB297" w:rsidR="00D9266A" w:rsidRDefault="00C63286">
      <w:r>
        <w:t>We asked questions about mental health, depression and anxiety.</w:t>
      </w:r>
      <w:r w:rsidR="00DF6637">
        <w:t xml:space="preserve"> </w:t>
      </w:r>
      <w:r w:rsidR="00D9266A">
        <w:t>Over half o</w:t>
      </w:r>
      <w:r w:rsidR="00925F28">
        <w:t>f our respondents (</w:t>
      </w:r>
      <w:r w:rsidR="008F2703">
        <w:t>58%)</w:t>
      </w:r>
      <w:r w:rsidR="00925F28">
        <w:t xml:space="preserve"> told us t</w:t>
      </w:r>
      <w:r w:rsidR="008F2703">
        <w:t>h</w:t>
      </w:r>
      <w:r w:rsidR="00925F28">
        <w:t>at their mental health had worsened during the pandemic.</w:t>
      </w:r>
    </w:p>
    <w:p w14:paraId="2EE4137D" w14:textId="4B38DC52" w:rsidR="00C63286" w:rsidRDefault="00DF6637">
      <w:r>
        <w:t xml:space="preserve">One fifth (22%) of our </w:t>
      </w:r>
      <w:r w:rsidR="00D70D89">
        <w:t>respondents</w:t>
      </w:r>
      <w:r>
        <w:t xml:space="preserve"> </w:t>
      </w:r>
      <w:r w:rsidR="00433618">
        <w:t>had been</w:t>
      </w:r>
      <w:r>
        <w:t xml:space="preserve"> diagnosed with depression and anxiety since the start of the pandemic</w:t>
      </w:r>
      <w:r w:rsidR="00925F28">
        <w:t xml:space="preserve"> in March 2020</w:t>
      </w:r>
      <w:r w:rsidR="00D70D89">
        <w:t xml:space="preserve"> and slightly fewer were still suffering symptoms of depression (15%) and anxiety (18%).</w:t>
      </w:r>
    </w:p>
    <w:p w14:paraId="7352E93A" w14:textId="69CC15E6" w:rsidR="00E17055" w:rsidRDefault="00E13F8E">
      <w:r>
        <w:t xml:space="preserve">Having memories triggered of illness during the previous </w:t>
      </w:r>
      <w:r w:rsidR="00F53F87">
        <w:t xml:space="preserve">HIV </w:t>
      </w:r>
      <w:r>
        <w:t>pandemic was</w:t>
      </w:r>
      <w:r w:rsidR="00F53F87">
        <w:t xml:space="preserve"> strongly</w:t>
      </w:r>
      <w:r>
        <w:t xml:space="preserve"> associated with having </w:t>
      </w:r>
      <w:r w:rsidR="00F53F87">
        <w:t xml:space="preserve">been diagnosed with depression and anxiety during this </w:t>
      </w:r>
      <w:r w:rsidR="0094311E">
        <w:t xml:space="preserve">Covid </w:t>
      </w:r>
      <w:r w:rsidR="001930D2">
        <w:t>pandemic.</w:t>
      </w:r>
    </w:p>
    <w:p w14:paraId="2720DF36" w14:textId="37EEEFF8" w:rsidR="00DD2C08" w:rsidRDefault="001E1C49">
      <w:r>
        <w:t>Over half o</w:t>
      </w:r>
      <w:r w:rsidR="00192570">
        <w:t>f</w:t>
      </w:r>
      <w:r>
        <w:t xml:space="preserve"> our </w:t>
      </w:r>
      <w:r w:rsidR="00192570">
        <w:t>respondents</w:t>
      </w:r>
      <w:r>
        <w:t xml:space="preserve"> told us that their social support (58%)</w:t>
      </w:r>
      <w:r w:rsidR="00192570">
        <w:t xml:space="preserve"> and family life (59%) had deteriorated during the pandemic</w:t>
      </w:r>
      <w:r w:rsidR="00DD2C08">
        <w:t>.</w:t>
      </w:r>
      <w:r w:rsidR="006903C0">
        <w:t xml:space="preserve"> </w:t>
      </w:r>
      <w:r w:rsidR="00DD2C08">
        <w:t>Fo</w:t>
      </w:r>
      <w:r w:rsidR="00C36264">
        <w:t>u</w:t>
      </w:r>
      <w:r w:rsidR="00DD2C08">
        <w:t xml:space="preserve">r in ten (43%) reported </w:t>
      </w:r>
      <w:r w:rsidR="00C36264">
        <w:t>a worsened financial situation</w:t>
      </w:r>
      <w:r w:rsidR="002F3A26">
        <w:t xml:space="preserve"> but only 7% became unemployed.</w:t>
      </w:r>
    </w:p>
    <w:p w14:paraId="08D31B5D" w14:textId="2A54E37F" w:rsidR="00D3583B" w:rsidRDefault="00D3583B" w:rsidP="00D8046E">
      <w:pPr>
        <w:pStyle w:val="Heading3"/>
      </w:pPr>
      <w:r w:rsidRPr="00D3583B">
        <w:t xml:space="preserve">Hopes for the </w:t>
      </w:r>
      <w:r w:rsidR="001930D2" w:rsidRPr="00D3583B">
        <w:t>future.</w:t>
      </w:r>
    </w:p>
    <w:p w14:paraId="256A97F9" w14:textId="0440EF0C" w:rsidR="00793485" w:rsidRDefault="009E17A1">
      <w:r w:rsidRPr="00954004">
        <w:t>Two years after the end of the pandemic restrictions</w:t>
      </w:r>
      <w:r w:rsidR="006903C0">
        <w:t xml:space="preserve">, </w:t>
      </w:r>
      <w:r w:rsidRPr="00954004">
        <w:t xml:space="preserve">three quarters </w:t>
      </w:r>
      <w:r w:rsidR="00954004">
        <w:t xml:space="preserve">(76%) </w:t>
      </w:r>
      <w:r w:rsidRPr="00954004">
        <w:t xml:space="preserve">of our </w:t>
      </w:r>
      <w:r w:rsidR="00954004" w:rsidRPr="00954004">
        <w:t>respondents</w:t>
      </w:r>
      <w:r w:rsidRPr="00954004">
        <w:t xml:space="preserve"> felt hopeful for the future</w:t>
      </w:r>
      <w:r w:rsidR="00954004" w:rsidRPr="00954004">
        <w:t xml:space="preserve"> of their HIV related health</w:t>
      </w:r>
      <w:r w:rsidR="00970C2B">
        <w:t>, and two thirds</w:t>
      </w:r>
      <w:r w:rsidR="00EC2C4F">
        <w:t xml:space="preserve"> hopeful about their future mental health (62%) and social relationships (65%</w:t>
      </w:r>
      <w:r w:rsidR="00FF6B28">
        <w:t>). Around</w:t>
      </w:r>
      <w:r w:rsidR="00F419F5">
        <w:t xml:space="preserve"> half of </w:t>
      </w:r>
      <w:r w:rsidR="00FF6B28">
        <w:t>respondents felt</w:t>
      </w:r>
      <w:r w:rsidR="00793485">
        <w:t xml:space="preserve"> hopeful about</w:t>
      </w:r>
      <w:r w:rsidR="00F419F5">
        <w:t xml:space="preserve"> </w:t>
      </w:r>
      <w:r w:rsidR="00793485">
        <w:t xml:space="preserve">their future </w:t>
      </w:r>
      <w:r w:rsidR="00FF6B28">
        <w:t>finances (</w:t>
      </w:r>
      <w:r w:rsidR="00F419F5">
        <w:t>55%) and employment</w:t>
      </w:r>
      <w:r w:rsidR="0003010D">
        <w:t xml:space="preserve"> (46%)</w:t>
      </w:r>
      <w:r w:rsidR="00864500">
        <w:t>.</w:t>
      </w:r>
    </w:p>
    <w:p w14:paraId="7A3B7B2A" w14:textId="77777777" w:rsidR="00864500" w:rsidRDefault="00864500"/>
    <w:p w14:paraId="756956C0" w14:textId="24C1FD8F" w:rsidR="00864500" w:rsidRDefault="00864500" w:rsidP="00D8046E">
      <w:pPr>
        <w:pStyle w:val="Heading3"/>
      </w:pPr>
      <w:r w:rsidRPr="00864500">
        <w:t xml:space="preserve">Recommendations for HIV services to prepare for future </w:t>
      </w:r>
      <w:r w:rsidR="001930D2" w:rsidRPr="00864500">
        <w:t>disruptions.</w:t>
      </w:r>
    </w:p>
    <w:p w14:paraId="494026F6" w14:textId="7CFA7614" w:rsidR="003A4A4A" w:rsidRDefault="00CC0EBE">
      <w:r w:rsidRPr="00CC0EBE">
        <w:t xml:space="preserve">We recommend that HIV services identify those people </w:t>
      </w:r>
      <w:r w:rsidR="00BE4A86">
        <w:t>access</w:t>
      </w:r>
      <w:r w:rsidRPr="00CC0EBE">
        <w:t>ing</w:t>
      </w:r>
      <w:r>
        <w:t xml:space="preserve"> </w:t>
      </w:r>
      <w:r w:rsidRPr="00CC0EBE">
        <w:t>their services who may be especially vulnerable to missing appointments or having difficulty accessing</w:t>
      </w:r>
      <w:r>
        <w:t xml:space="preserve"> </w:t>
      </w:r>
      <w:r w:rsidRPr="00CC0EBE">
        <w:t>care if further service disruption occurs.</w:t>
      </w:r>
      <w:r>
        <w:t xml:space="preserve"> These include women, those with depression or anxiety</w:t>
      </w:r>
      <w:r w:rsidR="003A4A4A">
        <w:t xml:space="preserve"> and those living further from the clinic.</w:t>
      </w:r>
      <w:r w:rsidR="00344A18">
        <w:t xml:space="preserve"> Plans to </w:t>
      </w:r>
      <w:r w:rsidR="00C42C76">
        <w:t xml:space="preserve">reduce the effects of service disruption for these groups should be formulated ahead of any disruption or </w:t>
      </w:r>
      <w:r w:rsidR="00256950">
        <w:t>future pandemic situation.</w:t>
      </w:r>
      <w:r w:rsidR="00E53AEB">
        <w:t xml:space="preserve"> </w:t>
      </w:r>
      <w:r w:rsidR="003A4A4A">
        <w:t>Contingency plans for remote blood testing and delivery of treatment should be put in place.</w:t>
      </w:r>
    </w:p>
    <w:p w14:paraId="1873459A" w14:textId="65396002" w:rsidR="003A4A4A" w:rsidRDefault="003A4A4A">
      <w:r>
        <w:t>The relative success of telephone appointments</w:t>
      </w:r>
      <w:r w:rsidR="00E53AEB">
        <w:t>, and</w:t>
      </w:r>
      <w:r w:rsidR="007074F3">
        <w:t xml:space="preserve"> the difficulties</w:t>
      </w:r>
      <w:r w:rsidR="00E53AEB">
        <w:t xml:space="preserve"> with IT</w:t>
      </w:r>
      <w:r>
        <w:t xml:space="preserve"> </w:t>
      </w:r>
      <w:r w:rsidR="007074F3">
        <w:t>access reported by some of our respondents, suggest</w:t>
      </w:r>
      <w:r w:rsidR="001E574C">
        <w:t>s</w:t>
      </w:r>
      <w:r w:rsidR="00BB37D4">
        <w:t xml:space="preserve"> that </w:t>
      </w:r>
      <w:r w:rsidR="001E574C">
        <w:t xml:space="preserve">mobile </w:t>
      </w:r>
      <w:r w:rsidR="00BB37D4">
        <w:t>telephone numbers should be recorded and kept up to date for each service user.</w:t>
      </w:r>
    </w:p>
    <w:p w14:paraId="37D10987" w14:textId="67F94DAA" w:rsidR="000F3061" w:rsidRDefault="000F3061">
      <w:r>
        <w:t>Given the high levels of reported distress and depression or anxiety</w:t>
      </w:r>
      <w:r w:rsidR="00F5540B">
        <w:t xml:space="preserve"> among those who responded to the survey, and the association between missed appointments and depression, it may be useful to routinely enquire about</w:t>
      </w:r>
      <w:r w:rsidR="00BE4A86">
        <w:t xml:space="preserve"> </w:t>
      </w:r>
      <w:r w:rsidR="00F5540B">
        <w:t>mental health or screen for depression</w:t>
      </w:r>
      <w:r w:rsidR="00BE4A86">
        <w:t xml:space="preserve"> during HIV related healthcare appointments.</w:t>
      </w:r>
    </w:p>
    <w:p w14:paraId="0A82F059" w14:textId="77777777" w:rsidR="00824A63" w:rsidRDefault="00824A63"/>
    <w:p w14:paraId="42828DA2" w14:textId="77777777" w:rsidR="00F4192C" w:rsidRDefault="00824A63">
      <w:r>
        <w:lastRenderedPageBreak/>
        <w:t xml:space="preserve">Our published paper can be accessed at </w:t>
      </w:r>
      <w:r w:rsidR="00F4192C">
        <w:rPr>
          <w:rStyle w:val="author"/>
          <w:rFonts w:ascii="Open Sans" w:hAnsi="Open Sans" w:cs="Open Sans"/>
          <w:color w:val="1C1D1E"/>
          <w:sz w:val="21"/>
          <w:szCs w:val="21"/>
          <w:shd w:val="clear" w:color="auto" w:fill="FFFFFF"/>
        </w:rPr>
        <w:t>Walker SH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, </w:t>
      </w:r>
      <w:r w:rsidR="00F4192C">
        <w:rPr>
          <w:rStyle w:val="author"/>
          <w:rFonts w:ascii="Open Sans" w:hAnsi="Open Sans" w:cs="Open Sans"/>
          <w:color w:val="1C1D1E"/>
          <w:sz w:val="21"/>
          <w:szCs w:val="21"/>
          <w:shd w:val="clear" w:color="auto" w:fill="FFFFFF"/>
        </w:rPr>
        <w:t>Grierson J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, </w:t>
      </w:r>
      <w:r w:rsidR="00F4192C">
        <w:rPr>
          <w:rStyle w:val="author"/>
          <w:rFonts w:ascii="Open Sans" w:hAnsi="Open Sans" w:cs="Open Sans"/>
          <w:color w:val="1C1D1E"/>
          <w:sz w:val="21"/>
          <w:szCs w:val="21"/>
          <w:shd w:val="clear" w:color="auto" w:fill="FFFFFF"/>
        </w:rPr>
        <w:t>Sullivan A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, </w:t>
      </w:r>
      <w:r w:rsidR="00F4192C">
        <w:rPr>
          <w:rStyle w:val="author"/>
          <w:rFonts w:ascii="Open Sans" w:hAnsi="Open Sans" w:cs="Open Sans"/>
          <w:color w:val="1C1D1E"/>
          <w:sz w:val="21"/>
          <w:szCs w:val="21"/>
          <w:shd w:val="clear" w:color="auto" w:fill="FFFFFF"/>
        </w:rPr>
        <w:t>Alagaratnam J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. </w:t>
      </w:r>
      <w:r w:rsidR="00F4192C">
        <w:rPr>
          <w:rStyle w:val="articletitle"/>
          <w:rFonts w:ascii="Open Sans" w:hAnsi="Open Sans" w:cs="Open Sans"/>
          <w:color w:val="1C1D1E"/>
          <w:sz w:val="21"/>
          <w:szCs w:val="21"/>
          <w:shd w:val="clear" w:color="auto" w:fill="FFFFFF"/>
        </w:rPr>
        <w:t>The effects of the COVID-19 pandemic on people living with HIV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. </w:t>
      </w:r>
      <w:r w:rsidR="00F4192C">
        <w:rPr>
          <w:rFonts w:ascii="Open Sans" w:hAnsi="Open Sans" w:cs="Open Sans"/>
          <w:i/>
          <w:iCs/>
          <w:color w:val="1C1D1E"/>
          <w:sz w:val="21"/>
          <w:szCs w:val="21"/>
          <w:shd w:val="clear" w:color="auto" w:fill="FFFFFF"/>
        </w:rPr>
        <w:t>HIV Med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. </w:t>
      </w:r>
      <w:r w:rsidR="00F4192C">
        <w:rPr>
          <w:rStyle w:val="pubyear"/>
          <w:rFonts w:ascii="Open Sans" w:hAnsi="Open Sans" w:cs="Open Sans"/>
          <w:color w:val="1C1D1E"/>
          <w:sz w:val="21"/>
          <w:szCs w:val="21"/>
          <w:shd w:val="clear" w:color="auto" w:fill="FFFFFF"/>
        </w:rPr>
        <w:t>2025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; </w:t>
      </w:r>
      <w:r w:rsidR="00F4192C">
        <w:rPr>
          <w:rStyle w:val="vol"/>
          <w:rFonts w:ascii="Open Sans" w:hAnsi="Open Sans" w:cs="Open Sans"/>
          <w:color w:val="1C1D1E"/>
          <w:sz w:val="21"/>
          <w:szCs w:val="21"/>
          <w:shd w:val="clear" w:color="auto" w:fill="FFFFFF"/>
        </w:rPr>
        <w:t>26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(</w:t>
      </w:r>
      <w:r w:rsidR="00F4192C">
        <w:rPr>
          <w:rStyle w:val="citedissue"/>
          <w:rFonts w:ascii="Open Sans" w:hAnsi="Open Sans" w:cs="Open Sans"/>
          <w:color w:val="1C1D1E"/>
          <w:sz w:val="21"/>
          <w:szCs w:val="21"/>
          <w:shd w:val="clear" w:color="auto" w:fill="FFFFFF"/>
        </w:rPr>
        <w:t>3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): </w:t>
      </w:r>
      <w:r w:rsidR="00F4192C">
        <w:rPr>
          <w:rStyle w:val="pagefirst"/>
          <w:rFonts w:ascii="Open Sans" w:hAnsi="Open Sans" w:cs="Open Sans"/>
          <w:color w:val="1C1D1E"/>
          <w:sz w:val="21"/>
          <w:szCs w:val="21"/>
          <w:shd w:val="clear" w:color="auto" w:fill="FFFFFF"/>
        </w:rPr>
        <w:t>479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-</w:t>
      </w:r>
      <w:r w:rsidR="00F4192C">
        <w:rPr>
          <w:rStyle w:val="pagelast"/>
          <w:rFonts w:ascii="Open Sans" w:hAnsi="Open Sans" w:cs="Open Sans"/>
          <w:color w:val="1C1D1E"/>
          <w:sz w:val="21"/>
          <w:szCs w:val="21"/>
          <w:shd w:val="clear" w:color="auto" w:fill="FFFFFF"/>
        </w:rPr>
        <w:t>488</w:t>
      </w:r>
      <w:r w:rsidR="00F4192C">
        <w:rPr>
          <w:rFonts w:ascii="Open Sans" w:hAnsi="Open Sans" w:cs="Open Sans"/>
          <w:color w:val="1C1D1E"/>
          <w:sz w:val="21"/>
          <w:szCs w:val="21"/>
          <w:shd w:val="clear" w:color="auto" w:fill="FFFFFF"/>
        </w:rPr>
        <w:t>. doi:</w:t>
      </w:r>
      <w:hyperlink r:id="rId6" w:tgtFrame="_blank" w:tooltip="Link to external resource: 10.1111/hiv.13754" w:history="1">
        <w:r w:rsidR="00F4192C">
          <w:rPr>
            <w:rStyle w:val="Hyperlink"/>
            <w:rFonts w:ascii="Open Sans" w:hAnsi="Open Sans" w:cs="Open Sans"/>
            <w:sz w:val="21"/>
            <w:szCs w:val="21"/>
            <w:shd w:val="clear" w:color="auto" w:fill="FFFFFF"/>
          </w:rPr>
          <w:t>10.1111/hiv.13754</w:t>
        </w:r>
      </w:hyperlink>
    </w:p>
    <w:p w14:paraId="48F7C1B9" w14:textId="0EF5D3A0" w:rsidR="00F4192C" w:rsidRPr="00CC0EBE" w:rsidRDefault="00B1318E">
      <w:hyperlink r:id="rId7" w:history="1">
        <w:r w:rsidR="00F4192C" w:rsidRPr="00CE2F93">
          <w:rPr>
            <w:rStyle w:val="Hyperlink"/>
          </w:rPr>
          <w:t>https://onlinelibrary.wiley.com/doi/10.1111/hiv.13754</w:t>
        </w:r>
      </w:hyperlink>
    </w:p>
    <w:sectPr w:rsidR="00F4192C" w:rsidRPr="00CC0EBE" w:rsidSect="00925B8B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82ECF" w14:textId="77777777" w:rsidR="000163D6" w:rsidRDefault="000163D6" w:rsidP="00824A63">
      <w:pPr>
        <w:spacing w:after="0" w:line="240" w:lineRule="auto"/>
      </w:pPr>
      <w:r>
        <w:separator/>
      </w:r>
    </w:p>
  </w:endnote>
  <w:endnote w:type="continuationSeparator" w:id="0">
    <w:p w14:paraId="5FC46C18" w14:textId="77777777" w:rsidR="000163D6" w:rsidRDefault="000163D6" w:rsidP="00824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89233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8F521" w14:textId="66DE6EFE" w:rsidR="00824A63" w:rsidRDefault="00824A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1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98398C" w14:textId="77777777" w:rsidR="00824A63" w:rsidRDefault="00824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40061" w14:textId="77777777" w:rsidR="000163D6" w:rsidRDefault="000163D6" w:rsidP="00824A63">
      <w:pPr>
        <w:spacing w:after="0" w:line="240" w:lineRule="auto"/>
      </w:pPr>
      <w:r>
        <w:separator/>
      </w:r>
    </w:p>
  </w:footnote>
  <w:footnote w:type="continuationSeparator" w:id="0">
    <w:p w14:paraId="72EF9B64" w14:textId="77777777" w:rsidR="000163D6" w:rsidRDefault="000163D6" w:rsidP="00824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48F77" w14:textId="3A5964E4" w:rsidR="001A0C51" w:rsidRDefault="00925B8B">
    <w:pPr>
      <w:pStyle w:val="Header"/>
    </w:pPr>
    <w:r>
      <w:rPr>
        <w:noProof/>
        <w:lang w:eastAsia="en-GB"/>
      </w:rPr>
      <w:drawing>
        <wp:inline distT="0" distB="0" distL="0" distR="0" wp14:anchorId="12805C31" wp14:editId="615D83B7">
          <wp:extent cx="883911" cy="561975"/>
          <wp:effectExtent l="0" t="0" r="0" b="0"/>
          <wp:docPr id="135531951" name="Picture 2" descr="A blue outline of a bird with a crown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31951" name="Picture 2" descr="A blue outline of a bird with a crown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925" cy="56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E6"/>
    <w:rsid w:val="000163D6"/>
    <w:rsid w:val="0003010D"/>
    <w:rsid w:val="00083982"/>
    <w:rsid w:val="000A2762"/>
    <w:rsid w:val="000F3061"/>
    <w:rsid w:val="00136361"/>
    <w:rsid w:val="00186951"/>
    <w:rsid w:val="00192570"/>
    <w:rsid w:val="001930D2"/>
    <w:rsid w:val="001A0C51"/>
    <w:rsid w:val="001E1C49"/>
    <w:rsid w:val="001E574C"/>
    <w:rsid w:val="00212BAE"/>
    <w:rsid w:val="00216E6F"/>
    <w:rsid w:val="00256950"/>
    <w:rsid w:val="00261F20"/>
    <w:rsid w:val="002832A3"/>
    <w:rsid w:val="00297A87"/>
    <w:rsid w:val="002D1504"/>
    <w:rsid w:val="002D1AD5"/>
    <w:rsid w:val="002D4739"/>
    <w:rsid w:val="002F3A26"/>
    <w:rsid w:val="00312B05"/>
    <w:rsid w:val="00317B33"/>
    <w:rsid w:val="00344A18"/>
    <w:rsid w:val="003A4A4A"/>
    <w:rsid w:val="004070EA"/>
    <w:rsid w:val="00433618"/>
    <w:rsid w:val="00473020"/>
    <w:rsid w:val="0049553B"/>
    <w:rsid w:val="004B66BA"/>
    <w:rsid w:val="00503194"/>
    <w:rsid w:val="00506718"/>
    <w:rsid w:val="0055002B"/>
    <w:rsid w:val="005E5EA9"/>
    <w:rsid w:val="005F2AA6"/>
    <w:rsid w:val="00685A30"/>
    <w:rsid w:val="006903C0"/>
    <w:rsid w:val="006D3BBE"/>
    <w:rsid w:val="006E65B2"/>
    <w:rsid w:val="007074F3"/>
    <w:rsid w:val="00740E83"/>
    <w:rsid w:val="00745991"/>
    <w:rsid w:val="00793485"/>
    <w:rsid w:val="00793F73"/>
    <w:rsid w:val="00824A63"/>
    <w:rsid w:val="00826121"/>
    <w:rsid w:val="00864500"/>
    <w:rsid w:val="008B4D94"/>
    <w:rsid w:val="008E61DC"/>
    <w:rsid w:val="008F2703"/>
    <w:rsid w:val="00925B8B"/>
    <w:rsid w:val="00925F28"/>
    <w:rsid w:val="00927740"/>
    <w:rsid w:val="0094311E"/>
    <w:rsid w:val="009464AB"/>
    <w:rsid w:val="00951E74"/>
    <w:rsid w:val="00954004"/>
    <w:rsid w:val="00970C2B"/>
    <w:rsid w:val="009770BF"/>
    <w:rsid w:val="009900CE"/>
    <w:rsid w:val="009E17A1"/>
    <w:rsid w:val="00A81BB3"/>
    <w:rsid w:val="00AD5F6C"/>
    <w:rsid w:val="00B1318E"/>
    <w:rsid w:val="00B27570"/>
    <w:rsid w:val="00B93FBC"/>
    <w:rsid w:val="00BA03E6"/>
    <w:rsid w:val="00BB37D4"/>
    <w:rsid w:val="00BE4A86"/>
    <w:rsid w:val="00C07F7F"/>
    <w:rsid w:val="00C36264"/>
    <w:rsid w:val="00C42C76"/>
    <w:rsid w:val="00C63286"/>
    <w:rsid w:val="00C710BE"/>
    <w:rsid w:val="00CB110D"/>
    <w:rsid w:val="00CC02D7"/>
    <w:rsid w:val="00CC0EBE"/>
    <w:rsid w:val="00D3583B"/>
    <w:rsid w:val="00D410CC"/>
    <w:rsid w:val="00D557E2"/>
    <w:rsid w:val="00D70D89"/>
    <w:rsid w:val="00D8046E"/>
    <w:rsid w:val="00D9266A"/>
    <w:rsid w:val="00D9738E"/>
    <w:rsid w:val="00DA0CF6"/>
    <w:rsid w:val="00DD2C08"/>
    <w:rsid w:val="00DF6637"/>
    <w:rsid w:val="00E13F8E"/>
    <w:rsid w:val="00E17055"/>
    <w:rsid w:val="00E30023"/>
    <w:rsid w:val="00E53AEB"/>
    <w:rsid w:val="00E62BEE"/>
    <w:rsid w:val="00EA11BD"/>
    <w:rsid w:val="00EC2C4F"/>
    <w:rsid w:val="00F10FB9"/>
    <w:rsid w:val="00F4192C"/>
    <w:rsid w:val="00F419F5"/>
    <w:rsid w:val="00F53F87"/>
    <w:rsid w:val="00F5540B"/>
    <w:rsid w:val="00F9702D"/>
    <w:rsid w:val="00FA7030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1F52"/>
  <w15:chartTrackingRefBased/>
  <w15:docId w15:val="{9D98CFD3-142D-42AC-BAA0-7BB8BF75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46E"/>
  </w:style>
  <w:style w:type="paragraph" w:styleId="Heading1">
    <w:name w:val="heading 1"/>
    <w:basedOn w:val="Normal"/>
    <w:next w:val="Normal"/>
    <w:link w:val="Heading1Char"/>
    <w:uiPriority w:val="9"/>
    <w:qFormat/>
    <w:rsid w:val="00D8046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6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4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4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4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4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4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4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46E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0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046E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46E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46E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46E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46E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46E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46E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8046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8046E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46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46E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46E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046E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A0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46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46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46E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D8046E"/>
    <w:rPr>
      <w:b/>
      <w:bCs/>
      <w:smallCaps/>
      <w:color w:val="0E2841" w:themeColor="tex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A63"/>
  </w:style>
  <w:style w:type="paragraph" w:styleId="Footer">
    <w:name w:val="footer"/>
    <w:basedOn w:val="Normal"/>
    <w:link w:val="FooterChar"/>
    <w:uiPriority w:val="99"/>
    <w:unhideWhenUsed/>
    <w:rsid w:val="00824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A63"/>
  </w:style>
  <w:style w:type="character" w:customStyle="1" w:styleId="author">
    <w:name w:val="author"/>
    <w:basedOn w:val="DefaultParagraphFont"/>
    <w:rsid w:val="00F4192C"/>
  </w:style>
  <w:style w:type="character" w:customStyle="1" w:styleId="articletitle">
    <w:name w:val="articletitle"/>
    <w:basedOn w:val="DefaultParagraphFont"/>
    <w:rsid w:val="00F4192C"/>
  </w:style>
  <w:style w:type="character" w:customStyle="1" w:styleId="pubyear">
    <w:name w:val="pubyear"/>
    <w:basedOn w:val="DefaultParagraphFont"/>
    <w:rsid w:val="00F4192C"/>
  </w:style>
  <w:style w:type="character" w:customStyle="1" w:styleId="vol">
    <w:name w:val="vol"/>
    <w:basedOn w:val="DefaultParagraphFont"/>
    <w:rsid w:val="00F4192C"/>
  </w:style>
  <w:style w:type="character" w:customStyle="1" w:styleId="citedissue">
    <w:name w:val="citedissue"/>
    <w:basedOn w:val="DefaultParagraphFont"/>
    <w:rsid w:val="00F4192C"/>
  </w:style>
  <w:style w:type="character" w:customStyle="1" w:styleId="pagefirst">
    <w:name w:val="pagefirst"/>
    <w:basedOn w:val="DefaultParagraphFont"/>
    <w:rsid w:val="00F4192C"/>
  </w:style>
  <w:style w:type="character" w:customStyle="1" w:styleId="pagelast">
    <w:name w:val="pagelast"/>
    <w:basedOn w:val="DefaultParagraphFont"/>
    <w:rsid w:val="00F4192C"/>
  </w:style>
  <w:style w:type="character" w:styleId="Hyperlink">
    <w:name w:val="Hyperlink"/>
    <w:basedOn w:val="DefaultParagraphFont"/>
    <w:uiPriority w:val="99"/>
    <w:unhideWhenUsed/>
    <w:rsid w:val="00F4192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92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046E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D8046E"/>
    <w:rPr>
      <w:b/>
      <w:bCs/>
    </w:rPr>
  </w:style>
  <w:style w:type="character" w:styleId="Emphasis">
    <w:name w:val="Emphasis"/>
    <w:basedOn w:val="DefaultParagraphFont"/>
    <w:uiPriority w:val="20"/>
    <w:qFormat/>
    <w:rsid w:val="00D8046E"/>
    <w:rPr>
      <w:i/>
      <w:iCs/>
    </w:rPr>
  </w:style>
  <w:style w:type="paragraph" w:styleId="NoSpacing">
    <w:name w:val="No Spacing"/>
    <w:uiPriority w:val="1"/>
    <w:qFormat/>
    <w:rsid w:val="00D8046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8046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8046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D8046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046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onlinelibrary.wiley.com/doi/10.1111/hiv.137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hiv.1375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f35c3da-39ae-4632-9ac1-afc2f25d2852}" enabled="0" method="" siteId="{5f35c3da-39ae-4632-9ac1-afc2f25d28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Susan</dc:creator>
  <cp:keywords/>
  <dc:description/>
  <cp:lastModifiedBy>Bridges, Lilley</cp:lastModifiedBy>
  <cp:revision>2</cp:revision>
  <dcterms:created xsi:type="dcterms:W3CDTF">2025-06-06T13:45:00Z</dcterms:created>
  <dcterms:modified xsi:type="dcterms:W3CDTF">2025-06-06T13:45:00Z</dcterms:modified>
</cp:coreProperties>
</file>